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41A43">
      <w:pPr>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pacing w:val="-20"/>
          <w:w w:val="95"/>
          <w:sz w:val="44"/>
          <w:szCs w:val="44"/>
        </w:rPr>
      </w:pPr>
      <w:r>
        <w:rPr>
          <w:rFonts w:hint="eastAsia" w:ascii="方正小标宋简体" w:hAnsi="方正小标宋简体" w:eastAsia="方正小标宋简体" w:cs="方正小标宋简体"/>
          <w:color w:val="auto"/>
          <w:spacing w:val="-20"/>
          <w:w w:val="95"/>
          <w:sz w:val="44"/>
          <w:szCs w:val="44"/>
        </w:rPr>
        <w:t>《</w:t>
      </w:r>
      <w:r>
        <w:rPr>
          <w:rFonts w:hint="eastAsia" w:ascii="方正小标宋简体" w:hAnsi="方正小标宋简体" w:eastAsia="方正小标宋简体" w:cs="方正小标宋简体"/>
          <w:color w:val="auto"/>
          <w:spacing w:val="-20"/>
          <w:w w:val="95"/>
          <w:sz w:val="44"/>
          <w:szCs w:val="44"/>
          <w:lang w:val="en-US" w:eastAsia="zh-CN"/>
        </w:rPr>
        <w:t>南昌</w:t>
      </w:r>
      <w:r>
        <w:rPr>
          <w:rFonts w:hint="eastAsia" w:ascii="方正小标宋简体" w:hAnsi="方正小标宋简体" w:eastAsia="方正小标宋简体" w:cs="方正小标宋简体"/>
          <w:color w:val="auto"/>
          <w:spacing w:val="-20"/>
          <w:w w:val="95"/>
          <w:sz w:val="44"/>
          <w:szCs w:val="44"/>
        </w:rPr>
        <w:t>市补充工伤保险</w:t>
      </w:r>
      <w:r>
        <w:rPr>
          <w:rFonts w:hint="eastAsia" w:ascii="方正小标宋简体" w:hAnsi="方正小标宋简体" w:eastAsia="方正小标宋简体" w:cs="方正小标宋简体"/>
          <w:color w:val="auto"/>
          <w:spacing w:val="-20"/>
          <w:w w:val="95"/>
          <w:sz w:val="44"/>
          <w:szCs w:val="44"/>
          <w:lang w:eastAsia="zh-CN"/>
        </w:rPr>
        <w:t>办法实施细则（试行）</w:t>
      </w:r>
      <w:r>
        <w:rPr>
          <w:rFonts w:hint="eastAsia" w:ascii="方正小标宋简体" w:hAnsi="方正小标宋简体" w:eastAsia="方正小标宋简体" w:cs="方正小标宋简体"/>
          <w:color w:val="auto"/>
          <w:spacing w:val="-20"/>
          <w:w w:val="95"/>
          <w:sz w:val="44"/>
          <w:szCs w:val="44"/>
        </w:rPr>
        <w:t>》</w:t>
      </w:r>
    </w:p>
    <w:p w14:paraId="639621BF">
      <w:pPr>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pacing w:val="-20"/>
          <w:sz w:val="44"/>
          <w:szCs w:val="44"/>
          <w:lang w:val="en-US" w:eastAsia="zh-CN"/>
        </w:rPr>
      </w:pPr>
      <w:r>
        <w:rPr>
          <w:rFonts w:hint="eastAsia" w:ascii="方正小标宋简体" w:hAnsi="方正小标宋简体" w:eastAsia="方正小标宋简体" w:cs="方正小标宋简体"/>
          <w:color w:val="auto"/>
          <w:spacing w:val="-20"/>
          <w:w w:val="95"/>
          <w:sz w:val="44"/>
          <w:szCs w:val="44"/>
          <w:lang w:eastAsia="zh-CN"/>
        </w:rPr>
        <w:t>政策解读</w:t>
      </w:r>
    </w:p>
    <w:p w14:paraId="23D495FB">
      <w:pPr>
        <w:keepNext w:val="0"/>
        <w:keepLines w:val="0"/>
        <w:pageBreakBefore w:val="0"/>
        <w:kinsoku/>
        <w:wordWrap/>
        <w:overflowPunct/>
        <w:topLinePunct w:val="0"/>
        <w:autoSpaceDE/>
        <w:autoSpaceDN/>
        <w:bidi w:val="0"/>
        <w:adjustRightInd/>
        <w:snapToGrid/>
        <w:spacing w:line="600" w:lineRule="exact"/>
        <w:textAlignment w:val="auto"/>
        <w:rPr>
          <w:rFonts w:hint="eastAsia"/>
          <w:color w:val="auto"/>
          <w:lang w:val="en-US" w:eastAsia="zh-CN"/>
        </w:rPr>
      </w:pPr>
    </w:p>
    <w:p w14:paraId="67940817">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hint="eastAsia" w:ascii="CESI黑体-GB2312" w:hAnsi="CESI黑体-GB2312" w:eastAsia="CESI黑体-GB2312" w:cs="CESI黑体-GB2312"/>
          <w:color w:val="auto"/>
          <w:sz w:val="32"/>
          <w:szCs w:val="32"/>
          <w:lang w:eastAsia="zh-CN"/>
        </w:rPr>
      </w:pPr>
      <w:r>
        <w:rPr>
          <w:rFonts w:hint="eastAsia" w:ascii="CESI黑体-GB2312" w:hAnsi="CESI黑体-GB2312" w:eastAsia="CESI黑体-GB2312" w:cs="CESI黑体-GB2312"/>
          <w:color w:val="auto"/>
          <w:sz w:val="32"/>
          <w:szCs w:val="32"/>
          <w:lang w:eastAsia="zh-CN"/>
        </w:rPr>
        <w:t>一、起草背景</w:t>
      </w:r>
    </w:p>
    <w:p w14:paraId="07113863">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eastAsia="仿宋_GB2312"/>
          <w:color w:val="auto"/>
          <w:sz w:val="32"/>
          <w:szCs w:val="32"/>
        </w:rPr>
      </w:pPr>
      <w:r>
        <w:rPr>
          <w:rFonts w:hint="eastAsia" w:eastAsia="仿宋_GB2312"/>
          <w:color w:val="auto"/>
          <w:sz w:val="32"/>
          <w:szCs w:val="32"/>
        </w:rPr>
        <w:t>为深入贯彻落实党的二十大精神，加快</w:t>
      </w:r>
      <w:r>
        <w:rPr>
          <w:rFonts w:hint="eastAsia" w:eastAsia="仿宋_GB2312"/>
          <w:color w:val="auto"/>
          <w:sz w:val="32"/>
          <w:szCs w:val="32"/>
          <w:lang w:eastAsia="zh-CN"/>
        </w:rPr>
        <w:t>建设</w:t>
      </w:r>
      <w:r>
        <w:rPr>
          <w:rFonts w:hint="eastAsia" w:eastAsia="仿宋_GB2312"/>
          <w:color w:val="auto"/>
          <w:sz w:val="32"/>
          <w:szCs w:val="32"/>
        </w:rPr>
        <w:t>我市多层次工伤保险制度体系，保障新就业形态从业人员</w:t>
      </w:r>
      <w:r>
        <w:rPr>
          <w:rFonts w:hint="eastAsia" w:eastAsia="仿宋_GB2312"/>
          <w:color w:val="auto"/>
          <w:sz w:val="32"/>
          <w:szCs w:val="32"/>
          <w:lang w:eastAsia="zh-CN"/>
        </w:rPr>
        <w:t>、灵活就业人员等群体的劳动保障</w:t>
      </w:r>
      <w:r>
        <w:rPr>
          <w:rFonts w:hint="eastAsia" w:eastAsia="仿宋_GB2312"/>
          <w:color w:val="auto"/>
          <w:sz w:val="32"/>
          <w:szCs w:val="32"/>
        </w:rPr>
        <w:t>权益</w:t>
      </w:r>
      <w:r>
        <w:rPr>
          <w:rFonts w:hint="eastAsia" w:eastAsia="仿宋_GB2312"/>
          <w:color w:val="auto"/>
          <w:sz w:val="32"/>
          <w:szCs w:val="32"/>
          <w:lang w:eastAsia="zh-CN"/>
        </w:rPr>
        <w:t>，根据</w:t>
      </w:r>
      <w:r>
        <w:rPr>
          <w:rFonts w:hint="eastAsia" w:ascii="仿宋_GB2312" w:hAnsi="仿宋_GB2312" w:eastAsia="仿宋_GB2312" w:cs="仿宋_GB2312"/>
          <w:color w:val="auto"/>
          <w:sz w:val="32"/>
          <w:lang w:val="en-US" w:eastAsia="zh-CN"/>
        </w:rPr>
        <w:t>《江西省</w:t>
      </w:r>
      <w:r>
        <w:rPr>
          <w:rFonts w:hint="default" w:ascii="仿宋_GB2312" w:hAnsi="仿宋_GB2312" w:eastAsia="仿宋_GB2312" w:cs="仿宋_GB2312"/>
          <w:color w:val="auto"/>
          <w:sz w:val="32"/>
          <w:lang w:val="en-US" w:eastAsia="zh-CN"/>
        </w:rPr>
        <w:t>实施&lt;工伤保险条例&gt;办法</w:t>
      </w:r>
      <w:r>
        <w:rPr>
          <w:rFonts w:hint="eastAsia" w:eastAsia="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省政府</w:t>
      </w:r>
      <w:r>
        <w:rPr>
          <w:rFonts w:hint="eastAsia" w:ascii="仿宋_GB2312" w:hAnsi="仿宋_GB2312" w:eastAsia="仿宋_GB2312" w:cs="仿宋_GB2312"/>
          <w:color w:val="auto"/>
          <w:sz w:val="32"/>
          <w:szCs w:val="32"/>
          <w:lang w:val="en-US" w:eastAsia="zh-CN"/>
        </w:rPr>
        <w:t>204</w:t>
      </w:r>
      <w:r>
        <w:rPr>
          <w:rFonts w:hint="default" w:ascii="仿宋_GB2312" w:hAnsi="仿宋_GB2312" w:eastAsia="仿宋_GB2312" w:cs="仿宋_GB2312"/>
          <w:color w:val="auto"/>
          <w:sz w:val="32"/>
          <w:szCs w:val="32"/>
          <w:lang w:val="en-US" w:eastAsia="zh-CN"/>
        </w:rPr>
        <w:t>号令</w:t>
      </w:r>
      <w:r>
        <w:rPr>
          <w:rFonts w:hint="eastAsia" w:ascii="仿宋_GB2312" w:hAnsi="仿宋_GB2312" w:eastAsia="仿宋_GB2312" w:cs="仿宋_GB2312"/>
          <w:color w:val="auto"/>
          <w:sz w:val="32"/>
          <w:szCs w:val="32"/>
          <w:lang w:val="en-US" w:eastAsia="zh-CN"/>
        </w:rPr>
        <w:t>）、</w:t>
      </w:r>
      <w:r>
        <w:rPr>
          <w:rFonts w:hint="eastAsia" w:eastAsia="仿宋_GB2312"/>
          <w:color w:val="auto"/>
          <w:sz w:val="32"/>
          <w:szCs w:val="32"/>
        </w:rPr>
        <w:t>《</w:t>
      </w:r>
      <w:r>
        <w:rPr>
          <w:rFonts w:hint="eastAsia" w:eastAsia="仿宋_GB2312"/>
          <w:color w:val="auto"/>
          <w:sz w:val="32"/>
          <w:szCs w:val="32"/>
          <w:lang w:val="en-US" w:eastAsia="zh-CN"/>
        </w:rPr>
        <w:t>南昌</w:t>
      </w:r>
      <w:r>
        <w:rPr>
          <w:rFonts w:hint="eastAsia" w:eastAsia="仿宋_GB2312"/>
          <w:color w:val="auto"/>
          <w:sz w:val="32"/>
          <w:szCs w:val="32"/>
          <w:lang w:eastAsia="zh-CN"/>
        </w:rPr>
        <w:t>市</w:t>
      </w:r>
      <w:r>
        <w:rPr>
          <w:rFonts w:hint="eastAsia" w:eastAsia="仿宋_GB2312"/>
          <w:color w:val="auto"/>
          <w:sz w:val="32"/>
          <w:szCs w:val="32"/>
        </w:rPr>
        <w:t>补充工伤保险办法（试行）》（</w:t>
      </w:r>
      <w:r>
        <w:rPr>
          <w:rFonts w:hint="eastAsia" w:eastAsia="仿宋_GB2312"/>
          <w:color w:val="auto"/>
          <w:sz w:val="32"/>
          <w:szCs w:val="32"/>
          <w:lang w:val="en-US" w:eastAsia="zh-CN"/>
        </w:rPr>
        <w:t>洪</w:t>
      </w:r>
      <w:r>
        <w:rPr>
          <w:rFonts w:hint="eastAsia" w:eastAsia="仿宋_GB2312"/>
          <w:color w:val="auto"/>
          <w:sz w:val="32"/>
          <w:szCs w:val="32"/>
          <w:lang w:eastAsia="zh-CN"/>
        </w:rPr>
        <w:t>府发</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2023</w:t>
      </w:r>
      <w:r>
        <w:rPr>
          <w:rFonts w:hint="eastAsia" w:ascii="CESI仿宋-GB2312" w:hAnsi="CESI仿宋-GB2312" w:eastAsia="CESI仿宋-GB2312" w:cs="CESI仿宋-GB2312"/>
          <w:color w:val="auto"/>
          <w:sz w:val="32"/>
          <w:szCs w:val="32"/>
          <w:lang w:eastAsia="zh-CN"/>
        </w:rPr>
        <w:t>〕</w:t>
      </w:r>
      <w:r>
        <w:rPr>
          <w:rFonts w:hint="eastAsia" w:ascii="CESI仿宋-GB2312" w:hAnsi="CESI仿宋-GB2312" w:cs="CESI仿宋-GB2312"/>
          <w:color w:val="auto"/>
          <w:sz w:val="32"/>
          <w:szCs w:val="32"/>
          <w:lang w:val="en-US" w:eastAsia="zh-CN"/>
        </w:rPr>
        <w:t>39</w:t>
      </w:r>
      <w:r>
        <w:rPr>
          <w:rFonts w:hint="eastAsia" w:ascii="CESI仿宋-GB2312" w:hAnsi="CESI仿宋-GB2312" w:eastAsia="CESI仿宋-GB2312" w:cs="CESI仿宋-GB2312"/>
          <w:color w:val="auto"/>
          <w:sz w:val="32"/>
          <w:szCs w:val="32"/>
          <w:lang w:val="en-US" w:eastAsia="zh-CN"/>
        </w:rPr>
        <w:t>号</w:t>
      </w:r>
      <w:r>
        <w:rPr>
          <w:rFonts w:hint="eastAsia" w:eastAsia="仿宋_GB2312"/>
          <w:color w:val="auto"/>
          <w:sz w:val="32"/>
          <w:szCs w:val="32"/>
        </w:rPr>
        <w:t>）</w:t>
      </w:r>
      <w:r>
        <w:rPr>
          <w:rFonts w:hint="eastAsia" w:eastAsia="仿宋_GB2312"/>
          <w:color w:val="auto"/>
          <w:sz w:val="32"/>
          <w:szCs w:val="32"/>
          <w:lang w:val="en-US" w:eastAsia="zh-CN"/>
        </w:rPr>
        <w:t>及</w:t>
      </w:r>
      <w:r>
        <w:rPr>
          <w:rFonts w:hint="eastAsia" w:ascii="仿宋_GB2312" w:hAnsi="仿宋_GB2312" w:eastAsia="仿宋_GB2312" w:cs="仿宋_GB2312"/>
          <w:color w:val="auto"/>
          <w:sz w:val="32"/>
          <w:szCs w:val="32"/>
          <w:lang w:val="en-US" w:eastAsia="zh-CN"/>
        </w:rPr>
        <w:t>2024年省、</w:t>
      </w:r>
      <w:r>
        <w:rPr>
          <w:rFonts w:hint="default" w:eastAsia="仿宋_GB2312"/>
          <w:color w:val="auto"/>
          <w:sz w:val="32"/>
          <w:szCs w:val="32"/>
          <w:lang w:val="en-US" w:eastAsia="zh-CN"/>
        </w:rPr>
        <w:t>市</w:t>
      </w:r>
      <w:r>
        <w:rPr>
          <w:rFonts w:hint="eastAsia" w:eastAsia="仿宋_GB2312"/>
          <w:color w:val="auto"/>
          <w:sz w:val="32"/>
          <w:szCs w:val="32"/>
          <w:lang w:val="en-US" w:eastAsia="zh-CN"/>
        </w:rPr>
        <w:t>补充工伤保险试点工作部署要求</w:t>
      </w:r>
      <w:r>
        <w:rPr>
          <w:rFonts w:hint="eastAsia" w:eastAsia="仿宋_GB2312"/>
          <w:color w:val="auto"/>
          <w:sz w:val="32"/>
          <w:szCs w:val="32"/>
          <w:lang w:eastAsia="zh-CN"/>
        </w:rPr>
        <w:t>，</w:t>
      </w:r>
      <w:r>
        <w:rPr>
          <w:rFonts w:hint="eastAsia" w:eastAsia="仿宋_GB2312"/>
          <w:color w:val="auto"/>
          <w:sz w:val="32"/>
          <w:szCs w:val="32"/>
          <w:lang w:val="en-US" w:eastAsia="zh-CN"/>
        </w:rPr>
        <w:t>我局</w:t>
      </w:r>
      <w:r>
        <w:rPr>
          <w:rFonts w:hint="eastAsia" w:eastAsia="仿宋_GB2312"/>
          <w:color w:val="auto"/>
          <w:sz w:val="32"/>
          <w:szCs w:val="32"/>
          <w:lang w:eastAsia="zh-CN"/>
        </w:rPr>
        <w:t>起草了《</w:t>
      </w:r>
      <w:r>
        <w:rPr>
          <w:rFonts w:hint="eastAsia" w:eastAsia="仿宋_GB2312"/>
          <w:color w:val="auto"/>
          <w:sz w:val="32"/>
          <w:szCs w:val="32"/>
          <w:lang w:val="en-US" w:eastAsia="zh-CN"/>
        </w:rPr>
        <w:t>南昌市</w:t>
      </w:r>
      <w:r>
        <w:rPr>
          <w:rFonts w:hint="eastAsia" w:eastAsia="仿宋_GB2312"/>
          <w:color w:val="auto"/>
          <w:sz w:val="32"/>
          <w:szCs w:val="32"/>
          <w:lang w:eastAsia="zh-CN"/>
        </w:rPr>
        <w:t>补充工伤保险办法实施细则（送审稿）》（以下简称《实施细则》），细化了</w:t>
      </w:r>
      <w:r>
        <w:rPr>
          <w:rFonts w:hint="eastAsia" w:eastAsia="仿宋_GB2312"/>
          <w:color w:val="auto"/>
          <w:sz w:val="32"/>
          <w:szCs w:val="32"/>
          <w:lang w:val="en-US" w:eastAsia="zh-CN"/>
        </w:rPr>
        <w:t>补充工伤保险</w:t>
      </w:r>
      <w:bookmarkStart w:id="0" w:name="_GoBack"/>
      <w:bookmarkEnd w:id="0"/>
      <w:r>
        <w:rPr>
          <w:rFonts w:hint="eastAsia" w:eastAsia="仿宋_GB2312"/>
          <w:color w:val="auto"/>
          <w:sz w:val="32"/>
          <w:szCs w:val="32"/>
          <w:lang w:eastAsia="zh-CN"/>
        </w:rPr>
        <w:t>经办的</w:t>
      </w:r>
      <w:r>
        <w:rPr>
          <w:rFonts w:hint="eastAsia" w:ascii="仿宋_GB2312" w:eastAsia="仿宋_GB2312"/>
          <w:color w:val="auto"/>
          <w:sz w:val="32"/>
          <w:szCs w:val="32"/>
          <w:highlight w:val="none"/>
          <w:lang w:eastAsia="zh-CN"/>
        </w:rPr>
        <w:t>具体要求</w:t>
      </w:r>
      <w:r>
        <w:rPr>
          <w:rFonts w:hint="eastAsia" w:eastAsia="仿宋_GB2312"/>
          <w:color w:val="auto"/>
          <w:sz w:val="32"/>
          <w:szCs w:val="32"/>
          <w:lang w:eastAsia="zh-CN"/>
        </w:rPr>
        <w:t>，明确了补充工伤保险业务办理的具体流程</w:t>
      </w:r>
      <w:r>
        <w:rPr>
          <w:rFonts w:eastAsia="仿宋_GB2312"/>
          <w:color w:val="auto"/>
          <w:sz w:val="32"/>
          <w:szCs w:val="32"/>
        </w:rPr>
        <w:t>。</w:t>
      </w:r>
    </w:p>
    <w:p w14:paraId="6DDD5A24">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0" w:firstLineChars="200"/>
        <w:jc w:val="both"/>
        <w:textAlignment w:val="auto"/>
        <w:rPr>
          <w:rFonts w:eastAsia="黑体"/>
          <w:color w:val="auto"/>
          <w:sz w:val="32"/>
          <w:szCs w:val="32"/>
        </w:rPr>
      </w:pPr>
      <w:r>
        <w:rPr>
          <w:rFonts w:hint="eastAsia" w:eastAsia="黑体"/>
          <w:color w:val="auto"/>
          <w:sz w:val="32"/>
          <w:szCs w:val="32"/>
          <w:lang w:val="en-US" w:eastAsia="zh-CN"/>
        </w:rPr>
        <w:t>二</w:t>
      </w:r>
      <w:r>
        <w:rPr>
          <w:rFonts w:eastAsia="黑体"/>
          <w:color w:val="auto"/>
          <w:sz w:val="32"/>
          <w:szCs w:val="32"/>
        </w:rPr>
        <w:t>、主要内容</w:t>
      </w:r>
    </w:p>
    <w:p w14:paraId="36D00B9B">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实施细则</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分为</w:t>
      </w:r>
      <w:r>
        <w:rPr>
          <w:rFonts w:hint="eastAsia" w:ascii="仿宋_GB2312" w:hAnsi="仿宋_GB2312" w:eastAsia="仿宋_GB2312" w:cs="仿宋_GB2312"/>
          <w:color w:val="auto"/>
          <w:sz w:val="32"/>
          <w:szCs w:val="32"/>
          <w:lang w:eastAsia="zh-CN"/>
        </w:rPr>
        <w:t>总则、参保登记和缴费</w:t>
      </w:r>
      <w:r>
        <w:rPr>
          <w:rFonts w:hint="eastAsia" w:ascii="仿宋_GB2312" w:hAnsi="仿宋_GB2312" w:eastAsia="仿宋_GB2312" w:cs="仿宋_GB2312"/>
          <w:color w:val="auto"/>
          <w:sz w:val="32"/>
          <w:szCs w:val="32"/>
        </w:rPr>
        <w:t>、工伤认定（职业伤害确认）与劳动能力鉴定、</w:t>
      </w:r>
      <w:r>
        <w:rPr>
          <w:rFonts w:hint="eastAsia" w:ascii="仿宋_GB2312" w:hAnsi="仿宋_GB2312" w:eastAsia="仿宋_GB2312" w:cs="仿宋_GB2312"/>
          <w:color w:val="auto"/>
          <w:sz w:val="32"/>
          <w:szCs w:val="32"/>
          <w:lang w:val="en-US" w:eastAsia="zh-CN"/>
        </w:rPr>
        <w:t>待遇</w:t>
      </w:r>
      <w:r>
        <w:rPr>
          <w:rFonts w:hint="eastAsia" w:ascii="仿宋_GB2312" w:hAnsi="仿宋_GB2312" w:eastAsia="仿宋_GB2312" w:cs="仿宋_GB2312"/>
          <w:color w:val="auto"/>
          <w:sz w:val="32"/>
          <w:szCs w:val="32"/>
          <w:lang w:eastAsia="zh-CN"/>
        </w:rPr>
        <w:t>资格确认、待遇项目、医疗待遇管理、伤残（亡）待遇管理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工伤预防管理、资金财务管理、监督管理和附则</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十一</w:t>
      </w:r>
      <w:r>
        <w:rPr>
          <w:rFonts w:hint="eastAsia" w:ascii="仿宋_GB2312" w:hAnsi="仿宋_GB2312" w:eastAsia="仿宋_GB2312" w:cs="仿宋_GB2312"/>
          <w:color w:val="auto"/>
          <w:sz w:val="32"/>
          <w:szCs w:val="32"/>
        </w:rPr>
        <w:t>个部分</w:t>
      </w:r>
      <w:r>
        <w:rPr>
          <w:rFonts w:hint="eastAsia" w:ascii="仿宋_GB2312" w:hAnsi="仿宋_GB2312" w:eastAsia="仿宋_GB2312" w:cs="仿宋_GB2312"/>
          <w:color w:val="auto"/>
          <w:sz w:val="32"/>
          <w:szCs w:val="32"/>
          <w:lang w:eastAsia="zh-CN"/>
        </w:rPr>
        <w:t>，共</w:t>
      </w:r>
      <w:r>
        <w:rPr>
          <w:rFonts w:hint="eastAsia" w:ascii="仿宋_GB2312" w:hAnsi="仿宋_GB2312" w:eastAsia="仿宋_GB2312" w:cs="仿宋_GB2312"/>
          <w:color w:val="auto"/>
          <w:sz w:val="32"/>
          <w:szCs w:val="32"/>
          <w:lang w:val="en-US" w:eastAsia="zh-CN"/>
        </w:rPr>
        <w:t>60条</w:t>
      </w:r>
      <w:r>
        <w:rPr>
          <w:rFonts w:hint="eastAsia" w:ascii="仿宋_GB2312" w:hAnsi="仿宋_GB2312" w:eastAsia="仿宋_GB2312" w:cs="仿宋_GB2312"/>
          <w:color w:val="auto"/>
          <w:sz w:val="32"/>
          <w:szCs w:val="32"/>
        </w:rPr>
        <w:t>。</w:t>
      </w:r>
    </w:p>
    <w:p w14:paraId="21942D79">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eastAsia="仿宋_GB2312"/>
          <w:color w:val="auto"/>
          <w:sz w:val="32"/>
          <w:szCs w:val="32"/>
        </w:rPr>
      </w:pPr>
      <w:r>
        <w:rPr>
          <w:rFonts w:hint="eastAsia" w:ascii="楷体" w:hAnsi="楷体" w:eastAsia="楷体" w:cs="楷体"/>
          <w:b/>
          <w:bCs/>
          <w:color w:val="auto"/>
          <w:sz w:val="32"/>
          <w:szCs w:val="32"/>
          <w:lang w:val="en-US" w:eastAsia="zh-CN"/>
        </w:rPr>
        <w:t>第一章</w:t>
      </w:r>
      <w:r>
        <w:rPr>
          <w:rFonts w:hint="eastAsia" w:ascii="楷体" w:hAnsi="楷体" w:eastAsia="楷体" w:cs="楷体"/>
          <w:b/>
          <w:bCs/>
          <w:color w:val="auto"/>
          <w:sz w:val="32"/>
          <w:szCs w:val="32"/>
          <w:lang w:eastAsia="zh-CN"/>
        </w:rPr>
        <w:t>总则</w:t>
      </w:r>
      <w:r>
        <w:rPr>
          <w:rFonts w:hint="eastAsia" w:ascii="楷体" w:hAnsi="楷体" w:eastAsia="楷体" w:cs="楷体"/>
          <w:b/>
          <w:bCs/>
          <w:color w:val="auto"/>
          <w:sz w:val="32"/>
          <w:szCs w:val="32"/>
          <w:lang w:val="en-US" w:eastAsia="zh-CN"/>
        </w:rPr>
        <w:t>。</w:t>
      </w:r>
      <w:r>
        <w:rPr>
          <w:rFonts w:hint="eastAsia" w:ascii="仿宋_GB2312" w:hAnsi="仿宋_GB2312" w:eastAsia="仿宋_GB2312" w:cs="仿宋_GB2312"/>
          <w:b w:val="0"/>
          <w:bCs w:val="0"/>
          <w:color w:val="auto"/>
          <w:sz w:val="32"/>
          <w:szCs w:val="32"/>
          <w:lang w:eastAsia="zh-CN"/>
        </w:rPr>
        <w:t>按照补充工伤保险实施办法的要求，</w:t>
      </w:r>
      <w:r>
        <w:rPr>
          <w:rFonts w:hint="eastAsia" w:ascii="楷体" w:hAnsi="楷体" w:eastAsia="楷体" w:cs="楷体"/>
          <w:b w:val="0"/>
          <w:bCs w:val="0"/>
          <w:color w:val="auto"/>
          <w:sz w:val="32"/>
          <w:szCs w:val="32"/>
          <w:lang w:eastAsia="zh-CN"/>
        </w:rPr>
        <w:t>对</w:t>
      </w:r>
      <w:r>
        <w:rPr>
          <w:rFonts w:hint="eastAsia" w:eastAsia="仿宋_GB2312"/>
          <w:color w:val="auto"/>
          <w:sz w:val="32"/>
          <w:szCs w:val="32"/>
          <w:lang w:eastAsia="zh-CN"/>
        </w:rPr>
        <w:t>补充工伤保险的承办方式、承办机构的责任，</w:t>
      </w:r>
      <w:r>
        <w:rPr>
          <w:rFonts w:hint="eastAsia" w:ascii="仿宋_GB2312" w:hAnsi="仿宋_GB2312" w:eastAsia="仿宋_GB2312" w:cs="仿宋_GB2312"/>
          <w:color w:val="auto"/>
          <w:sz w:val="32"/>
          <w:lang w:eastAsia="zh-CN"/>
        </w:rPr>
        <w:t>具体的经办进行了明确</w:t>
      </w:r>
      <w:r>
        <w:rPr>
          <w:rFonts w:eastAsia="仿宋_GB2312"/>
          <w:color w:val="auto"/>
          <w:sz w:val="32"/>
          <w:szCs w:val="32"/>
        </w:rPr>
        <w:t>。</w:t>
      </w:r>
    </w:p>
    <w:p w14:paraId="48780BED">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第二章</w:t>
      </w:r>
      <w:r>
        <w:rPr>
          <w:rFonts w:hint="eastAsia" w:ascii="楷体" w:hAnsi="楷体" w:eastAsia="楷体" w:cs="楷体"/>
          <w:b/>
          <w:bCs/>
          <w:color w:val="auto"/>
          <w:sz w:val="32"/>
          <w:szCs w:val="32"/>
          <w:lang w:eastAsia="zh-CN"/>
        </w:rPr>
        <w:t>参保登记和缴费。</w:t>
      </w:r>
      <w:r>
        <w:rPr>
          <w:rFonts w:hint="eastAsia" w:ascii="仿宋_GB2312" w:hAnsi="仿宋_GB2312" w:eastAsia="仿宋_GB2312" w:cs="仿宋_GB2312"/>
          <w:color w:val="auto"/>
          <w:sz w:val="32"/>
          <w:szCs w:val="32"/>
          <w:lang w:eastAsia="zh-CN"/>
        </w:rPr>
        <w:t>明确了参保人员共分</w:t>
      </w:r>
      <w:r>
        <w:rPr>
          <w:rFonts w:hint="eastAsia" w:ascii="仿宋_GB2312" w:hAnsi="仿宋_GB2312" w:eastAsia="仿宋_GB2312" w:cs="仿宋_GB2312"/>
          <w:color w:val="auto"/>
          <w:sz w:val="32"/>
          <w:szCs w:val="32"/>
          <w:lang w:val="en-US" w:eastAsia="zh-CN"/>
        </w:rPr>
        <w:t>两</w:t>
      </w:r>
      <w:r>
        <w:rPr>
          <w:rFonts w:hint="eastAsia" w:ascii="仿宋_GB2312" w:hAnsi="仿宋_GB2312" w:eastAsia="仿宋_GB2312" w:cs="仿宋_GB2312"/>
          <w:color w:val="auto"/>
          <w:sz w:val="32"/>
          <w:szCs w:val="32"/>
          <w:lang w:eastAsia="zh-CN"/>
        </w:rPr>
        <w:t>类，包括已经参加工伤保险的用人单位的所有参保人员和未纳入《工伤保险条例》实施范围的</w:t>
      </w:r>
      <w:r>
        <w:rPr>
          <w:rFonts w:hint="eastAsia" w:ascii="仿宋_GB2312" w:hAnsi="仿宋_GB2312" w:eastAsia="仿宋_GB2312" w:cs="仿宋_GB2312"/>
          <w:color w:val="auto"/>
          <w:sz w:val="32"/>
          <w:szCs w:val="32"/>
          <w:lang w:val="en-US" w:eastAsia="zh-CN"/>
        </w:rPr>
        <w:t>6类特定人员</w:t>
      </w:r>
      <w:r>
        <w:rPr>
          <w:rFonts w:hint="eastAsia" w:ascii="仿宋_GB2312" w:hAnsi="仿宋_GB2312" w:eastAsia="仿宋_GB2312" w:cs="仿宋_GB2312"/>
          <w:color w:val="auto"/>
          <w:sz w:val="32"/>
          <w:szCs w:val="32"/>
          <w:lang w:eastAsia="zh-CN"/>
        </w:rPr>
        <w:t>。明确了缴费基数和费率</w:t>
      </w:r>
      <w:r>
        <w:rPr>
          <w:rFonts w:hint="eastAsia" w:ascii="仿宋_GB2312" w:hAnsi="仿宋_GB2312" w:eastAsia="仿宋_GB2312" w:cs="仿宋_GB2312"/>
          <w:color w:val="auto"/>
          <w:sz w:val="32"/>
          <w:szCs w:val="32"/>
        </w:rPr>
        <w:t>。</w:t>
      </w:r>
    </w:p>
    <w:p w14:paraId="2C0F4C0E">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rPr>
      </w:pPr>
      <w:r>
        <w:rPr>
          <w:rFonts w:hint="eastAsia" w:ascii="楷体" w:hAnsi="楷体" w:eastAsia="楷体" w:cs="楷体"/>
          <w:b/>
          <w:bCs/>
          <w:color w:val="auto"/>
          <w:sz w:val="32"/>
          <w:szCs w:val="32"/>
          <w:lang w:val="en-US" w:eastAsia="zh-CN"/>
        </w:rPr>
        <w:t>第三章</w:t>
      </w:r>
      <w:r>
        <w:rPr>
          <w:rFonts w:hint="eastAsia" w:ascii="楷体" w:hAnsi="楷体" w:eastAsia="楷体" w:cs="楷体"/>
          <w:b/>
          <w:bCs/>
          <w:color w:val="auto"/>
          <w:sz w:val="32"/>
          <w:szCs w:val="32"/>
          <w:lang w:eastAsia="zh-CN"/>
        </w:rPr>
        <w:t>工伤认定（职业伤害确认）与劳动能力鉴定</w:t>
      </w:r>
      <w:r>
        <w:rPr>
          <w:rFonts w:hint="eastAsia" w:ascii="CESI楷体-GB2312" w:hAnsi="CESI楷体-GB2312" w:eastAsia="CESI楷体-GB2312" w:cs="CESI楷体-GB2312"/>
          <w:b/>
          <w:bCs/>
          <w:color w:val="auto"/>
          <w:sz w:val="32"/>
          <w:szCs w:val="32"/>
        </w:rPr>
        <w:t>。</w:t>
      </w:r>
      <w:r>
        <w:rPr>
          <w:rFonts w:hint="eastAsia" w:ascii="仿宋_GB2312" w:hAnsi="仿宋_GB2312" w:eastAsia="仿宋_GB2312" w:cs="仿宋_GB2312"/>
          <w:color w:val="auto"/>
          <w:sz w:val="32"/>
          <w:lang w:val="en" w:eastAsia="zh-CN" w:bidi="ar"/>
        </w:rPr>
        <w:t>明确了</w:t>
      </w:r>
      <w:r>
        <w:rPr>
          <w:rFonts w:hint="eastAsia" w:ascii="仿宋_GB2312" w:hAnsi="仿宋_GB2312" w:eastAsia="仿宋_GB2312" w:cs="仿宋_GB2312"/>
          <w:color w:val="auto"/>
          <w:sz w:val="32"/>
          <w:lang w:val="en-US" w:eastAsia="zh-CN" w:bidi="ar"/>
        </w:rPr>
        <w:t>特定人员可以确认为职业伤害和不得确认为职业伤害的情形，明确了特定人员职业伤害确认、劳动能力鉴定方面的相关要求及时限</w:t>
      </w:r>
      <w:r>
        <w:rPr>
          <w:rFonts w:hint="eastAsia" w:ascii="仿宋_GB2312" w:hAnsi="仿宋_GB2312" w:eastAsia="仿宋_GB2312" w:cs="仿宋_GB2312"/>
          <w:color w:val="auto"/>
          <w:sz w:val="32"/>
          <w:lang w:val="en" w:eastAsia="zh-CN" w:bidi="ar"/>
        </w:rPr>
        <w:t>。</w:t>
      </w:r>
    </w:p>
    <w:p w14:paraId="7EAB8523">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第四章待遇</w:t>
      </w:r>
      <w:r>
        <w:rPr>
          <w:rFonts w:hint="eastAsia" w:ascii="楷体" w:hAnsi="楷体" w:eastAsia="楷体" w:cs="楷体"/>
          <w:b/>
          <w:bCs/>
          <w:color w:val="auto"/>
          <w:sz w:val="32"/>
          <w:szCs w:val="32"/>
          <w:lang w:eastAsia="zh-CN"/>
        </w:rPr>
        <w:t>资格确认。</w:t>
      </w:r>
      <w:r>
        <w:rPr>
          <w:rFonts w:hint="eastAsia" w:ascii="仿宋_GB2312" w:hAnsi="仿宋_GB2312" w:eastAsia="仿宋_GB2312" w:cs="仿宋_GB2312"/>
          <w:color w:val="auto"/>
          <w:sz w:val="32"/>
          <w:szCs w:val="32"/>
          <w:lang w:eastAsia="zh-CN"/>
        </w:rPr>
        <w:t>明确了</w:t>
      </w:r>
      <w:r>
        <w:rPr>
          <w:rFonts w:hint="eastAsia" w:ascii="仿宋_GB2312" w:hAnsi="仿宋_GB2312" w:eastAsia="仿宋_GB2312" w:cs="仿宋_GB2312"/>
          <w:color w:val="auto"/>
          <w:sz w:val="32"/>
          <w:szCs w:val="32"/>
          <w:lang w:val="en-US" w:eastAsia="zh-CN"/>
        </w:rPr>
        <w:t>享受待遇的前提条件及不享受待遇的情形</w:t>
      </w:r>
      <w:r>
        <w:rPr>
          <w:rFonts w:hint="eastAsia" w:ascii="仿宋_GB2312" w:hAnsi="仿宋_GB2312" w:eastAsia="仿宋_GB2312" w:cs="仿宋_GB2312"/>
          <w:color w:val="auto"/>
          <w:sz w:val="32"/>
          <w:szCs w:val="32"/>
          <w:lang w:eastAsia="zh-CN"/>
        </w:rPr>
        <w:t>。</w:t>
      </w:r>
    </w:p>
    <w:p w14:paraId="4A30D330">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第五章待遇项目。</w:t>
      </w:r>
      <w:r>
        <w:rPr>
          <w:rFonts w:hint="eastAsia" w:ascii="仿宋_GB2312" w:hAnsi="仿宋_GB2312" w:eastAsia="仿宋_GB2312" w:cs="仿宋_GB2312"/>
          <w:color w:val="auto"/>
          <w:sz w:val="32"/>
          <w:szCs w:val="32"/>
          <w:lang w:val="en-US" w:eastAsia="zh-CN"/>
        </w:rPr>
        <w:t>明确了已纳入工伤保险的参保人员和特定人员的补充工伤保险待遇项目，并明确了超法定退休年龄人员、新就业形态从业人员和灵活就业人员不享受一次性职业补助金。</w:t>
      </w:r>
    </w:p>
    <w:p w14:paraId="712CAA9D">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val="en" w:eastAsia="zh-CN"/>
        </w:rPr>
      </w:pPr>
      <w:r>
        <w:rPr>
          <w:rFonts w:hint="eastAsia" w:ascii="楷体" w:hAnsi="楷体" w:eastAsia="楷体" w:cs="楷体"/>
          <w:b/>
          <w:bCs/>
          <w:color w:val="auto"/>
          <w:sz w:val="32"/>
          <w:szCs w:val="32"/>
          <w:lang w:val="en-US" w:eastAsia="zh-CN"/>
        </w:rPr>
        <w:t>第六章</w:t>
      </w:r>
      <w:r>
        <w:rPr>
          <w:rFonts w:hint="eastAsia" w:ascii="楷体" w:hAnsi="楷体" w:eastAsia="楷体" w:cs="楷体"/>
          <w:b/>
          <w:bCs/>
          <w:color w:val="auto"/>
          <w:sz w:val="32"/>
          <w:szCs w:val="32"/>
          <w:lang w:val="en" w:eastAsia="zh-CN"/>
        </w:rPr>
        <w:t>医疗待遇管理。</w:t>
      </w:r>
      <w:r>
        <w:rPr>
          <w:rFonts w:hint="eastAsia" w:ascii="仿宋_GB2312" w:hAnsi="仿宋_GB2312" w:eastAsia="仿宋_GB2312" w:cs="仿宋_GB2312"/>
          <w:color w:val="auto"/>
          <w:sz w:val="32"/>
          <w:szCs w:val="32"/>
          <w:lang w:val="en" w:eastAsia="zh-CN"/>
        </w:rPr>
        <w:t>明确了医疗待遇管理的相关待遇、限额、时限等要求。</w:t>
      </w:r>
    </w:p>
    <w:p w14:paraId="075356D5">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第七章伤残（亡）待遇管理</w:t>
      </w:r>
      <w:r>
        <w:rPr>
          <w:rFonts w:hint="eastAsia" w:ascii="楷体" w:hAnsi="楷体" w:eastAsia="楷体" w:cs="楷体"/>
          <w:b/>
          <w:bCs/>
          <w:color w:val="auto"/>
          <w:sz w:val="32"/>
          <w:szCs w:val="32"/>
        </w:rPr>
        <w:t>。</w:t>
      </w:r>
      <w:r>
        <w:rPr>
          <w:rFonts w:hint="eastAsia" w:ascii="仿宋_GB2312" w:hAnsi="仿宋_GB2312" w:eastAsia="仿宋_GB2312" w:cs="仿宋_GB2312"/>
          <w:color w:val="auto"/>
          <w:sz w:val="32"/>
          <w:szCs w:val="32"/>
          <w:lang w:eastAsia="zh-CN"/>
        </w:rPr>
        <w:t>明确了经劳动能力鉴定确定伤残等级，补充工伤保险按规定支付的相关待遇。</w:t>
      </w:r>
    </w:p>
    <w:p w14:paraId="2647C92E">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第八章</w:t>
      </w:r>
      <w:r>
        <w:rPr>
          <w:rFonts w:hint="eastAsia" w:ascii="楷体" w:hAnsi="楷体" w:eastAsia="楷体" w:cs="楷体"/>
          <w:b/>
          <w:bCs/>
          <w:color w:val="auto"/>
          <w:sz w:val="32"/>
          <w:szCs w:val="32"/>
          <w:lang w:eastAsia="zh-CN"/>
        </w:rPr>
        <w:t>工伤预防管理。</w:t>
      </w:r>
      <w:r>
        <w:rPr>
          <w:rFonts w:hint="eastAsia" w:ascii="仿宋_GB2312" w:hAnsi="仿宋_GB2312" w:eastAsia="仿宋_GB2312" w:cs="仿宋_GB2312"/>
          <w:color w:val="auto"/>
          <w:sz w:val="32"/>
          <w:szCs w:val="32"/>
          <w:lang w:eastAsia="zh-CN"/>
        </w:rPr>
        <w:t>明确了提取不超过</w:t>
      </w:r>
      <w:r>
        <w:rPr>
          <w:rFonts w:hint="eastAsia" w:ascii="仿宋_GB2312" w:hAnsi="仿宋_GB2312" w:eastAsia="仿宋_GB2312" w:cs="仿宋_GB2312"/>
          <w:color w:val="auto"/>
          <w:sz w:val="32"/>
          <w:szCs w:val="32"/>
          <w:lang w:val="en-US" w:eastAsia="zh-CN"/>
        </w:rPr>
        <w:t>3%的</w:t>
      </w:r>
      <w:r>
        <w:rPr>
          <w:rFonts w:hint="eastAsia" w:ascii="仿宋_GB2312" w:hAnsi="仿宋_GB2312" w:eastAsia="仿宋_GB2312" w:cs="仿宋_GB2312"/>
          <w:color w:val="auto"/>
          <w:sz w:val="32"/>
          <w:szCs w:val="32"/>
          <w:lang w:eastAsia="zh-CN"/>
        </w:rPr>
        <w:t>上年度补充工伤保险保费收入</w:t>
      </w:r>
      <w:r>
        <w:rPr>
          <w:rFonts w:hint="eastAsia" w:ascii="仿宋_GB2312" w:hAnsi="仿宋_GB2312" w:eastAsia="仿宋_GB2312" w:cs="仿宋_GB2312"/>
          <w:color w:val="auto"/>
          <w:sz w:val="32"/>
          <w:szCs w:val="32"/>
          <w:lang w:val="en-US" w:eastAsia="zh-CN"/>
        </w:rPr>
        <w:t>作为补充工伤保险预防费，参照《江西省工伤预防费使用管理暂行办法》开展工伤预防工作。</w:t>
      </w:r>
    </w:p>
    <w:p w14:paraId="2B9662F4">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第九章资金财务管理。</w:t>
      </w:r>
      <w:r>
        <w:rPr>
          <w:rFonts w:hint="eastAsia" w:ascii="仿宋_GB2312" w:hAnsi="仿宋_GB2312" w:eastAsia="仿宋_GB2312" w:cs="仿宋_GB2312"/>
          <w:color w:val="auto"/>
          <w:sz w:val="32"/>
          <w:szCs w:val="32"/>
          <w:lang w:val="en-US" w:eastAsia="zh-CN"/>
        </w:rPr>
        <w:t>明确了试行期间承办机构管理运行成本与盈利合计暂按</w:t>
      </w:r>
      <w:r>
        <w:rPr>
          <w:rFonts w:hint="default" w:ascii="仿宋_GB2312" w:hAnsi="仿宋_GB2312" w:eastAsia="仿宋_GB2312" w:cs="仿宋_GB2312"/>
          <w:color w:val="auto"/>
          <w:sz w:val="32"/>
          <w:szCs w:val="32"/>
          <w:lang w:val="en-US" w:eastAsia="zh-CN"/>
        </w:rPr>
        <w:t>不超过</w:t>
      </w:r>
      <w:r>
        <w:rPr>
          <w:rFonts w:hint="eastAsia" w:ascii="仿宋_GB2312" w:hAnsi="仿宋_GB2312" w:eastAsia="仿宋_GB2312" w:cs="仿宋_GB2312"/>
          <w:color w:val="auto"/>
          <w:sz w:val="32"/>
          <w:szCs w:val="32"/>
          <w:lang w:val="en-US" w:eastAsia="zh-CN"/>
        </w:rPr>
        <w:t>年度征缴保费收入的10%计取。明确经办机构、承办机构、税务部门权利义务。</w:t>
      </w:r>
    </w:p>
    <w:p w14:paraId="051A487A">
      <w:pPr>
        <w:keepNext w:val="0"/>
        <w:keepLines w:val="0"/>
        <w:pageBreakBefore w:val="0"/>
        <w:shd w:val="clear" w:color="auto" w:fill="auto"/>
        <w:kinsoku/>
        <w:wordWrap/>
        <w:overflowPunct/>
        <w:topLinePunct w:val="0"/>
        <w:autoSpaceDE/>
        <w:autoSpaceDN/>
        <w:bidi w:val="0"/>
        <w:adjustRightInd/>
        <w:snapToGrid/>
        <w:spacing w:beforeAutospacing="0" w:line="600" w:lineRule="exact"/>
        <w:ind w:firstLine="643"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color w:val="auto"/>
          <w:sz w:val="32"/>
          <w:szCs w:val="32"/>
          <w:lang w:val="en-US" w:eastAsia="zh-CN"/>
        </w:rPr>
        <w:t>第十章监督管理。</w:t>
      </w:r>
      <w:r>
        <w:rPr>
          <w:rFonts w:hint="eastAsia" w:ascii="仿宋_GB2312" w:hAnsi="仿宋_GB2312" w:eastAsia="仿宋_GB2312" w:cs="仿宋_GB2312"/>
          <w:color w:val="auto"/>
          <w:sz w:val="32"/>
          <w:szCs w:val="32"/>
          <w:lang w:val="en-US" w:eastAsia="zh-CN"/>
        </w:rPr>
        <w:t>各级社会保险行政部门和社会保险经办机构负责对补充工伤保险日常运行进行指导和监督，对承办机构出现的违规行为应责令改正。</w:t>
      </w:r>
    </w:p>
    <w:p w14:paraId="0E09AC8C">
      <w:pPr>
        <w:widowControl/>
        <w:spacing w:line="540" w:lineRule="exact"/>
        <w:ind w:firstLine="643" w:firstLineChars="200"/>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z w:val="32"/>
          <w:szCs w:val="32"/>
          <w:lang w:val="en-US" w:eastAsia="zh-CN"/>
        </w:rPr>
        <w:t>第十一章</w:t>
      </w:r>
      <w:r>
        <w:rPr>
          <w:rFonts w:hint="eastAsia" w:ascii="楷体" w:hAnsi="楷体" w:eastAsia="楷体" w:cs="楷体"/>
          <w:b/>
          <w:bCs/>
          <w:color w:val="auto"/>
          <w:sz w:val="32"/>
          <w:szCs w:val="32"/>
          <w:lang w:eastAsia="zh-CN"/>
        </w:rPr>
        <w:t>附则。</w:t>
      </w:r>
      <w:r>
        <w:rPr>
          <w:rFonts w:hint="eastAsia" w:ascii="仿宋_GB2312" w:hAnsi="仿宋_GB2312" w:eastAsia="仿宋_GB2312" w:cs="仿宋_GB2312"/>
          <w:color w:val="auto"/>
          <w:sz w:val="32"/>
          <w:szCs w:val="32"/>
          <w:lang w:eastAsia="zh-CN"/>
        </w:rPr>
        <w:t>明确补充工伤保险的缴费标准和待遇标准；明确</w:t>
      </w:r>
      <w:r>
        <w:rPr>
          <w:rFonts w:hint="eastAsia" w:ascii="仿宋_GB2312" w:hAnsi="仿宋_GB2312" w:eastAsia="仿宋_GB2312" w:cs="仿宋_GB2312"/>
          <w:color w:val="auto"/>
          <w:sz w:val="32"/>
          <w:szCs w:val="32"/>
          <w:lang w:val="en-US" w:eastAsia="zh-CN"/>
        </w:rPr>
        <w:t>参保单位、参保人与承办机构发生争议时的处理方式等。</w:t>
      </w:r>
    </w:p>
    <w:p w14:paraId="3DF4B8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val="en-US" w:eastAsia="zh-CN"/>
        </w:rPr>
        <w:t>三</w:t>
      </w:r>
      <w:r>
        <w:rPr>
          <w:rFonts w:hint="eastAsia" w:ascii="黑体" w:hAnsi="黑体" w:eastAsia="黑体" w:cs="黑体"/>
          <w:color w:val="000000"/>
          <w:sz w:val="32"/>
          <w:szCs w:val="32"/>
          <w:lang w:eastAsia="zh-CN"/>
        </w:rPr>
        <w:t>、施行时间</w:t>
      </w:r>
    </w:p>
    <w:p w14:paraId="38083DB1">
      <w:pPr>
        <w:widowControl/>
        <w:spacing w:line="54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本《实施细则》</w:t>
      </w:r>
      <w:r>
        <w:rPr>
          <w:rFonts w:hint="eastAsia" w:ascii="仿宋_GB2312" w:hAnsi="仿宋_GB2312" w:eastAsia="仿宋_GB2312" w:cs="仿宋_GB2312"/>
          <w:sz w:val="32"/>
          <w:szCs w:val="32"/>
        </w:rPr>
        <w:t>自</w:t>
      </w:r>
      <w:r>
        <w:rPr>
          <w:rFonts w:hint="eastAsia" w:ascii="仿宋_GB2312" w:hAnsi="仿宋_GB2312" w:eastAsia="仿宋_GB2312" w:cs="仿宋_GB2312"/>
          <w:sz w:val="32"/>
          <w:szCs w:val="32"/>
          <w:lang w:val="en-US" w:eastAsia="zh-CN"/>
        </w:rPr>
        <w:t>颁布之日起施行，</w:t>
      </w:r>
      <w:r>
        <w:rPr>
          <w:rFonts w:hint="eastAsia" w:ascii="仿宋_GB2312" w:hAnsi="仿宋_GB2312" w:eastAsia="仿宋_GB2312" w:cs="仿宋_GB2312"/>
          <w:sz w:val="32"/>
          <w:szCs w:val="32"/>
        </w:rPr>
        <w:t>2024年3月1日</w:t>
      </w:r>
      <w:r>
        <w:rPr>
          <w:rFonts w:hint="eastAsia" w:ascii="仿宋_GB2312" w:hAnsi="仿宋_GB2312" w:eastAsia="仿宋_GB2312" w:cs="仿宋_GB2312"/>
          <w:sz w:val="32"/>
          <w:szCs w:val="32"/>
          <w:lang w:val="en-US" w:eastAsia="zh-CN"/>
        </w:rPr>
        <w:t>至本《实施细则》</w:t>
      </w:r>
      <w:r>
        <w:rPr>
          <w:rFonts w:hint="eastAsia" w:ascii="仿宋_GB2312" w:hAnsi="仿宋_GB2312" w:eastAsia="仿宋_GB2312" w:cs="仿宋_GB2312"/>
          <w:sz w:val="32"/>
          <w:szCs w:val="32"/>
        </w:rPr>
        <w:t>施行</w:t>
      </w:r>
      <w:r>
        <w:rPr>
          <w:rFonts w:hint="eastAsia" w:ascii="仿宋_GB2312" w:hAnsi="仿宋_GB2312" w:eastAsia="仿宋_GB2312" w:cs="仿宋_GB2312"/>
          <w:sz w:val="32"/>
          <w:szCs w:val="32"/>
          <w:lang w:val="en-US" w:eastAsia="zh-CN"/>
        </w:rPr>
        <w:t>前的相关事项，可参照本《实施细则》操作。</w:t>
      </w:r>
    </w:p>
    <w:p w14:paraId="1E5AD4E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黑体-GB2312">
    <w:panose1 w:val="02000500000000000000"/>
    <w:charset w:val="86"/>
    <w:family w:val="auto"/>
    <w:pitch w:val="default"/>
    <w:sig w:usb0="800002BF" w:usb1="184F6CF8" w:usb2="00000012"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EBDB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0603F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0603F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zNmJlYzdkMTVmYmNlZGYxMmQxODNlMDhjNGVhYjMifQ=="/>
  </w:docVars>
  <w:rsids>
    <w:rsidRoot w:val="373E3F5C"/>
    <w:rsid w:val="0A067AB9"/>
    <w:rsid w:val="0DCB04B2"/>
    <w:rsid w:val="0F892407"/>
    <w:rsid w:val="16F43DC2"/>
    <w:rsid w:val="17A42A25"/>
    <w:rsid w:val="1DDD76DB"/>
    <w:rsid w:val="30B83C72"/>
    <w:rsid w:val="335A31DA"/>
    <w:rsid w:val="373E3F5C"/>
    <w:rsid w:val="418F5E0C"/>
    <w:rsid w:val="458933C9"/>
    <w:rsid w:val="4CF333F9"/>
    <w:rsid w:val="4D7742EC"/>
    <w:rsid w:val="53FD31E3"/>
    <w:rsid w:val="59D9660D"/>
    <w:rsid w:val="6117C5FC"/>
    <w:rsid w:val="672F13C1"/>
    <w:rsid w:val="6D37E6F4"/>
    <w:rsid w:val="6DF826BE"/>
    <w:rsid w:val="6F8F47A3"/>
    <w:rsid w:val="76EDE5A0"/>
    <w:rsid w:val="795B9A24"/>
    <w:rsid w:val="BFE112F9"/>
    <w:rsid w:val="EE4F1626"/>
    <w:rsid w:val="FEC23E52"/>
    <w:rsid w:val="FFFEA9E0"/>
    <w:rsid w:val="FFFEF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ESI仿宋-GB2312" w:cs="Times New Roman"/>
      <w:kern w:val="2"/>
      <w:sz w:val="32"/>
      <w:szCs w:val="24"/>
      <w:lang w:val="en-US" w:eastAsia="zh-CN" w:bidi="ar-SA"/>
    </w:rPr>
  </w:style>
  <w:style w:type="paragraph" w:styleId="2">
    <w:name w:val="heading 2"/>
    <w:basedOn w:val="1"/>
    <w:next w:val="1"/>
    <w:qFormat/>
    <w:uiPriority w:val="99"/>
    <w:pPr>
      <w:keepNext/>
      <w:keepLines/>
      <w:spacing w:beforeLines="50" w:line="360" w:lineRule="auto"/>
      <w:outlineLvl w:val="1"/>
    </w:pPr>
    <w:rPr>
      <w:rFonts w:ascii="Arial" w:hAnsi="Arial" w:eastAsia="黑体"/>
      <w:bCs/>
      <w:kern w:val="0"/>
      <w:sz w:val="30"/>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2015</Words>
  <Characters>2031</Characters>
  <Lines>0</Lines>
  <Paragraphs>0</Paragraphs>
  <TotalTime>1</TotalTime>
  <ScaleCrop>false</ScaleCrop>
  <LinksUpToDate>false</LinksUpToDate>
  <CharactersWithSpaces>2051</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2024-10-26T03:42:00Z</dcterms:created>
  <dc:creator>谁 年少不轻狂</dc:creator>
  <cp:lastModifiedBy>kylin</cp:lastModifiedBy>
  <cp:lastPrinted>2024-11-03T01:04:00Z</cp:lastPrinted>
  <dcterms:modified xsi:type="dcterms:W3CDTF">2025-01-10T15:36:42Z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6ECA5681225841F7BFBFB4FAE4E16072_13</vt:lpwstr>
  </property>
  <property fmtid="{D5CDD505-2E9C-101B-9397-08002B2CF9AE}" pid="4" name="KSOTemplateDocerSaveRecord">
    <vt:lpwstr>eyJoZGlkIjoiOTUzNmJlYzdkMTVmYmNlZGYxMmQxODNlMDhjNGVhYjMifQ==</vt:lpwstr>
  </property>
</Properties>
</file>