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ind w:right="316" w:rightChars="100" w:firstLine="316" w:firstLineChars="100"/>
        <w:jc w:val="center"/>
        <w:rPr>
          <w:rFonts w:hint="eastAsia" w:ascii="楷体_GB2312" w:eastAsia="楷体_GB2312"/>
        </w:rPr>
      </w:pPr>
      <w:r>
        <w:rPr>
          <w:rFonts w:hint="eastAsia" w:ascii="仿宋_GB2312"/>
        </w:rPr>
        <w:t>赣人社发〔2023〕36号</w:t>
      </w:r>
    </w:p>
    <w:p>
      <w:pPr>
        <w:rPr>
          <w:rFonts w:hint="eastAsia"/>
        </w:rPr>
      </w:pPr>
    </w:p>
    <w:p>
      <w:pPr>
        <w:ind w:right="25" w:rightChars="8"/>
        <w:rPr>
          <w:rFonts w:hint="eastAsia" w:ascii="仿宋_GB2312" w:hAnsi="华文中宋"/>
          <w:szCs w:val="32"/>
        </w:rPr>
      </w:pPr>
    </w:p>
    <w:p>
      <w:pPr>
        <w:spacing w:line="600" w:lineRule="exact"/>
        <w:jc w:val="center"/>
        <w:rPr>
          <w:rFonts w:ascii="小标宋" w:hAnsi="方正小标宋简体" w:eastAsia="小标宋" w:cs="华文中宋"/>
          <w:sz w:val="44"/>
          <w:szCs w:val="44"/>
          <w:lang w:bidi="ar"/>
        </w:rPr>
      </w:pPr>
      <w:r>
        <w:rPr>
          <w:rFonts w:hint="eastAsia" w:ascii="小标宋" w:hAnsi="方正小标宋简体" w:eastAsia="小标宋" w:cs="华文中宋"/>
          <w:sz w:val="44"/>
          <w:szCs w:val="44"/>
          <w:lang w:bidi="ar"/>
        </w:rPr>
        <w:t>江西省人力资源和社会保障厅</w:t>
      </w:r>
    </w:p>
    <w:p>
      <w:pPr>
        <w:spacing w:line="640" w:lineRule="exact"/>
        <w:jc w:val="center"/>
        <w:rPr>
          <w:rFonts w:ascii="小标宋" w:eastAsia="小标宋"/>
          <w:sz w:val="44"/>
          <w:szCs w:val="44"/>
        </w:rPr>
      </w:pPr>
      <w:bookmarkStart w:id="0" w:name="文号"/>
      <w:bookmarkEnd w:id="0"/>
      <w:bookmarkStart w:id="1" w:name="Content"/>
      <w:bookmarkEnd w:id="1"/>
      <w:r>
        <w:rPr>
          <w:rFonts w:hint="eastAsia" w:ascii="小标宋" w:eastAsia="小标宋"/>
          <w:sz w:val="44"/>
          <w:szCs w:val="44"/>
        </w:rPr>
        <w:t>关于印发《江西省省级人力资源服务行业</w:t>
      </w:r>
    </w:p>
    <w:p>
      <w:pPr>
        <w:spacing w:line="640" w:lineRule="exact"/>
        <w:jc w:val="center"/>
        <w:rPr>
          <w:rFonts w:ascii="小标宋" w:eastAsia="小标宋"/>
          <w:sz w:val="44"/>
          <w:szCs w:val="44"/>
        </w:rPr>
      </w:pPr>
      <w:r>
        <w:rPr>
          <w:rFonts w:hint="eastAsia" w:ascii="小标宋" w:eastAsia="小标宋"/>
          <w:sz w:val="44"/>
          <w:szCs w:val="44"/>
        </w:rPr>
        <w:t>领军企业、骨干企业和领军人才评定</w:t>
      </w:r>
    </w:p>
    <w:p>
      <w:pPr>
        <w:spacing w:line="640" w:lineRule="exact"/>
        <w:jc w:val="center"/>
        <w:rPr>
          <w:rFonts w:ascii="小标宋" w:eastAsia="小标宋"/>
          <w:sz w:val="44"/>
          <w:szCs w:val="44"/>
        </w:rPr>
      </w:pPr>
      <w:r>
        <w:rPr>
          <w:rFonts w:hint="eastAsia" w:ascii="小标宋" w:eastAsia="小标宋"/>
          <w:sz w:val="44"/>
          <w:szCs w:val="44"/>
        </w:rPr>
        <w:t>管理办法》的通知</w:t>
      </w:r>
    </w:p>
    <w:p>
      <w:pPr>
        <w:rPr>
          <w:rFonts w:ascii="仿宋_GB2312"/>
        </w:rPr>
      </w:pPr>
    </w:p>
    <w:p>
      <w:pPr>
        <w:spacing w:line="600" w:lineRule="exact"/>
        <w:rPr>
          <w:rFonts w:ascii="仿宋_GB2312"/>
        </w:rPr>
      </w:pPr>
      <w:r>
        <w:rPr>
          <w:rFonts w:hint="eastAsia" w:ascii="仿宋_GB2312"/>
        </w:rPr>
        <w:t>各设区市人力资源社会保障局，赣江新区社会发展局：</w:t>
      </w:r>
    </w:p>
    <w:p>
      <w:pPr>
        <w:spacing w:line="600" w:lineRule="exact"/>
        <w:ind w:firstLine="632" w:firstLineChars="200"/>
        <w:rPr>
          <w:rFonts w:ascii="仿宋_GB2312"/>
        </w:rPr>
      </w:pPr>
      <w:r>
        <w:rPr>
          <w:rFonts w:hint="eastAsia" w:ascii="仿宋_GB2312"/>
        </w:rPr>
        <w:t>为深入贯彻落实《江西省人力资源市场条例》，进一步推动我省人力资源服务业高质量发展，现将《江西省省级人力资源服务行业领军企业、骨干企业和领军人才评定管理办法》印发给你们，请遵照执行。</w:t>
      </w:r>
    </w:p>
    <w:p>
      <w:pPr>
        <w:spacing w:line="560" w:lineRule="exact"/>
        <w:rPr>
          <w:rFonts w:ascii="仿宋_GB2312"/>
        </w:rPr>
      </w:pPr>
    </w:p>
    <w:p>
      <w:pPr>
        <w:jc w:val="left"/>
        <w:rPr>
          <w:rFonts w:ascii="仿宋_GB2312"/>
        </w:rPr>
      </w:pPr>
      <w:r>
        <w:rPr>
          <w:rFonts w:hint="eastAsia" w:ascii="仿宋_GB2312"/>
        </w:rPr>
        <w:t>（此页无正文）</w:t>
      </w:r>
    </w:p>
    <w:p>
      <w:pPr>
        <w:jc w:val="right"/>
        <w:rPr>
          <w:rFonts w:hint="eastAsia" w:ascii="仿宋_GB2312"/>
        </w:rPr>
      </w:pPr>
    </w:p>
    <w:p>
      <w:pPr>
        <w:jc w:val="right"/>
        <w:rPr>
          <w:rFonts w:ascii="仿宋_GB2312"/>
        </w:rPr>
      </w:pPr>
    </w:p>
    <w:p>
      <w:pPr>
        <w:ind w:right="316"/>
        <w:jc w:val="right"/>
        <w:rPr>
          <w:rFonts w:ascii="仿宋_GB2312"/>
        </w:rPr>
      </w:pPr>
      <w:r>
        <w:rPr>
          <w:rFonts w:hint="eastAsia" w:ascii="仿宋_GB2312"/>
        </w:rPr>
        <w:t>江西省人力资源和社会保障厅</w:t>
      </w:r>
    </w:p>
    <w:p>
      <w:pPr>
        <w:ind w:right="1106"/>
        <w:jc w:val="right"/>
        <w:rPr>
          <w:rFonts w:ascii="仿宋_GB2312"/>
        </w:rPr>
      </w:pPr>
      <w:r>
        <w:rPr>
          <w:rFonts w:hint="eastAsia" w:ascii="仿宋_GB2312"/>
        </w:rPr>
        <w:t>202</w:t>
      </w:r>
      <w:r>
        <w:rPr>
          <w:rFonts w:ascii="仿宋_GB2312"/>
          <w:lang w:val="en"/>
        </w:rPr>
        <w:t>3</w:t>
      </w:r>
      <w:r>
        <w:rPr>
          <w:rFonts w:hint="eastAsia" w:ascii="仿宋_GB2312"/>
        </w:rPr>
        <w:t>年</w:t>
      </w:r>
      <w:r>
        <w:rPr>
          <w:rFonts w:ascii="仿宋_GB2312"/>
          <w:lang w:val="en"/>
        </w:rPr>
        <w:t>12</w:t>
      </w:r>
      <w:r>
        <w:rPr>
          <w:rFonts w:hint="eastAsia" w:ascii="仿宋_GB2312"/>
        </w:rPr>
        <w:t>月</w:t>
      </w:r>
      <w:r>
        <w:rPr>
          <w:rFonts w:ascii="仿宋_GB2312"/>
          <w:lang w:val="en"/>
        </w:rPr>
        <w:t>29</w:t>
      </w:r>
      <w:r>
        <w:rPr>
          <w:rFonts w:hint="eastAsia" w:ascii="仿宋_GB2312"/>
        </w:rPr>
        <w:t>日</w:t>
      </w:r>
    </w:p>
    <w:p>
      <w:pPr>
        <w:ind w:firstLine="790" w:firstLineChars="250"/>
      </w:pPr>
      <w:r>
        <w:rPr>
          <w:rFonts w:hint="eastAsia"/>
        </w:rPr>
        <w:t>（此件主动公开）</w:t>
      </w:r>
    </w:p>
    <w:p>
      <w:pPr>
        <w:widowControl/>
        <w:spacing w:line="560" w:lineRule="exact"/>
        <w:jc w:val="center"/>
        <w:rPr>
          <w:rFonts w:ascii="小标宋" w:hAnsi="华文中宋" w:eastAsia="小标宋" w:cs="华文中宋"/>
          <w:spacing w:val="-10"/>
          <w:sz w:val="44"/>
          <w:szCs w:val="44"/>
        </w:rPr>
      </w:pPr>
    </w:p>
    <w:p>
      <w:pPr>
        <w:widowControl/>
        <w:spacing w:line="600" w:lineRule="exact"/>
        <w:jc w:val="center"/>
        <w:rPr>
          <w:rFonts w:ascii="小标宋" w:hAnsi="华文中宋" w:eastAsia="小标宋" w:cs="华文中宋"/>
          <w:spacing w:val="-10"/>
          <w:sz w:val="44"/>
          <w:szCs w:val="44"/>
        </w:rPr>
      </w:pPr>
    </w:p>
    <w:p>
      <w:pPr>
        <w:widowControl/>
        <w:spacing w:line="600" w:lineRule="exact"/>
        <w:jc w:val="center"/>
        <w:rPr>
          <w:rFonts w:ascii="小标宋" w:hAnsi="华文中宋" w:eastAsia="小标宋" w:cs="华文中宋"/>
          <w:spacing w:val="-10"/>
          <w:sz w:val="44"/>
          <w:szCs w:val="44"/>
        </w:rPr>
      </w:pPr>
    </w:p>
    <w:p>
      <w:pPr>
        <w:widowControl/>
        <w:jc w:val="left"/>
        <w:rPr>
          <w:rFonts w:ascii="小标宋" w:hAnsi="华文中宋" w:eastAsia="小标宋" w:cs="华文中宋"/>
          <w:spacing w:val="-10"/>
          <w:sz w:val="44"/>
          <w:szCs w:val="44"/>
        </w:rPr>
      </w:pPr>
      <w:r>
        <w:rPr>
          <w:rFonts w:ascii="小标宋" w:hAnsi="华文中宋" w:eastAsia="小标宋" w:cs="华文中宋"/>
          <w:spacing w:val="-10"/>
          <w:sz w:val="44"/>
          <w:szCs w:val="44"/>
        </w:rPr>
        <w:br w:type="page"/>
      </w:r>
    </w:p>
    <w:p>
      <w:pPr>
        <w:widowControl/>
        <w:spacing w:line="560" w:lineRule="exact"/>
        <w:jc w:val="center"/>
        <w:rPr>
          <w:rFonts w:ascii="小标宋" w:hAnsi="华文中宋" w:eastAsia="小标宋" w:cs="华文中宋"/>
          <w:spacing w:val="-10"/>
          <w:sz w:val="44"/>
          <w:szCs w:val="44"/>
        </w:rPr>
      </w:pPr>
    </w:p>
    <w:p>
      <w:pPr>
        <w:widowControl/>
        <w:spacing w:line="600" w:lineRule="exact"/>
        <w:jc w:val="center"/>
        <w:rPr>
          <w:rFonts w:ascii="小标宋" w:hAnsi="华文中宋" w:eastAsia="小标宋" w:cs="华文中宋"/>
          <w:sz w:val="44"/>
          <w:szCs w:val="44"/>
        </w:rPr>
      </w:pPr>
      <w:r>
        <w:rPr>
          <w:rFonts w:hint="eastAsia" w:ascii="小标宋" w:hAnsi="华文中宋" w:eastAsia="小标宋" w:cs="华文中宋"/>
          <w:sz w:val="44"/>
          <w:szCs w:val="44"/>
        </w:rPr>
        <w:t>江西省省级人力资源服务行业领军企业、</w:t>
      </w:r>
    </w:p>
    <w:p>
      <w:pPr>
        <w:widowControl/>
        <w:spacing w:line="600" w:lineRule="exact"/>
        <w:jc w:val="center"/>
        <w:rPr>
          <w:rFonts w:ascii="小标宋" w:hAnsi="华文中宋" w:eastAsia="小标宋" w:cs="华文中宋"/>
          <w:sz w:val="44"/>
          <w:szCs w:val="44"/>
        </w:rPr>
      </w:pPr>
      <w:r>
        <w:rPr>
          <w:rFonts w:hint="eastAsia" w:ascii="小标宋" w:hAnsi="华文中宋" w:eastAsia="小标宋" w:cs="华文中宋"/>
          <w:sz w:val="44"/>
          <w:szCs w:val="44"/>
        </w:rPr>
        <w:t>骨干企业和领军人才评定管理办法</w:t>
      </w:r>
    </w:p>
    <w:p>
      <w:pPr>
        <w:contextualSpacing/>
        <w:rPr>
          <w:rFonts w:eastAsia="宋体"/>
          <w:szCs w:val="24"/>
        </w:rPr>
      </w:pPr>
    </w:p>
    <w:p>
      <w:pPr>
        <w:widowControl/>
        <w:ind w:firstLine="641"/>
        <w:contextualSpacing/>
        <w:rPr>
          <w:rFonts w:ascii="仿宋_GB2312" w:hAnsi="仿宋"/>
        </w:rPr>
      </w:pPr>
      <w:bookmarkStart w:id="2" w:name="1"/>
      <w:r>
        <w:rPr>
          <w:rFonts w:hint="eastAsia" w:ascii="仿宋_GB2312" w:hAnsi="仿宋" w:cs="黑体"/>
          <w:b/>
        </w:rPr>
        <w:t>第一条</w:t>
      </w:r>
      <w:bookmarkEnd w:id="2"/>
      <w:r>
        <w:rPr>
          <w:rFonts w:hint="eastAsia" w:ascii="仿宋_GB2312" w:hAnsi="仿宋" w:cs="黑体"/>
        </w:rPr>
        <w:t xml:space="preserve">  </w:t>
      </w:r>
      <w:r>
        <w:rPr>
          <w:rFonts w:hint="eastAsia" w:ascii="仿宋_GB2312" w:hAnsi="仿宋"/>
        </w:rPr>
        <w:t>为规范江西省省级人力资源服务行业领军企业、骨干企业和领军人才评定管理工作，发挥领军企业、骨干企业和领军人才在行业发展中的引领带动作用，根据《江西省人力资源市场条例》《江西省人民政府关于加快人力资源服务业发展的意见》（赣府发〔2018〕27号）有关规定，结合我省实际，制定本办法。</w:t>
      </w:r>
    </w:p>
    <w:p>
      <w:pPr>
        <w:ind w:firstLine="632" w:firstLineChars="200"/>
        <w:contextualSpacing/>
      </w:pPr>
      <w:bookmarkStart w:id="3" w:name="2"/>
      <w:r>
        <w:rPr>
          <w:rFonts w:hint="eastAsia" w:ascii="仿宋_GB2312" w:hAnsi="仿宋" w:cs="黑体"/>
          <w:b/>
        </w:rPr>
        <w:t>第二条</w:t>
      </w:r>
      <w:bookmarkEnd w:id="3"/>
      <w:r>
        <w:rPr>
          <w:rFonts w:hint="eastAsia" w:ascii="仿宋_GB2312" w:hAnsi="仿宋" w:cs="黑体"/>
          <w:b/>
        </w:rPr>
        <w:t xml:space="preserve"> </w:t>
      </w:r>
      <w:r>
        <w:rPr>
          <w:rFonts w:hint="eastAsia"/>
        </w:rPr>
        <w:t xml:space="preserve"> 本办法所称省级人力资源服务行业领军企业，系指本省行政区域内服务规模、经济贡献、创新能力、品牌建设、社会影响力等方面处于领先地位，综合实力较强的经营性人力资源服务机构；省级人力资源服务行业骨干企业，系指本省行政区域内创新能力和竞争力较强、单项业务突出、服务特色鲜明、发展潜力较大的经营性人力资源服务机构；省级人力资源服务行业领军人才，系指本省人力资源服务行业内具有较高专业素养、较高知名度和较大影响力，所在企业为行业发展作出较大贡献的企业经营管理人员或专业技术人员。</w:t>
      </w:r>
    </w:p>
    <w:p>
      <w:pPr>
        <w:ind w:firstLine="632" w:firstLineChars="200"/>
      </w:pPr>
      <w:bookmarkStart w:id="4" w:name="3"/>
      <w:r>
        <w:rPr>
          <w:rFonts w:hint="eastAsia" w:ascii="仿宋_GB2312" w:hAnsi="仿宋" w:cs="黑体"/>
          <w:b/>
        </w:rPr>
        <w:t>第三条</w:t>
      </w:r>
      <w:bookmarkEnd w:id="4"/>
      <w:r>
        <w:rPr>
          <w:rFonts w:hint="eastAsia"/>
        </w:rPr>
        <w:t xml:space="preserve">  省级人力资源服务行业领军企业、骨干企业和领军人才评定以客观事实为依据，坚持公开、公平、公正原则。</w:t>
      </w:r>
    </w:p>
    <w:p>
      <w:pPr>
        <w:ind w:firstLine="632" w:firstLineChars="200"/>
      </w:pPr>
      <w:bookmarkStart w:id="5" w:name="5"/>
      <w:r>
        <w:rPr>
          <w:rFonts w:hint="eastAsia" w:ascii="仿宋_GB2312" w:hAnsi="仿宋" w:cs="黑体"/>
          <w:b/>
        </w:rPr>
        <w:t>第四条</w:t>
      </w:r>
      <w:r>
        <w:rPr>
          <w:rFonts w:hint="eastAsia"/>
        </w:rPr>
        <w:t xml:space="preserve">  省级人力资源服务行业领军企业、骨干企业和领军人才评定每年开展一次，每次评定数量根据申报情况确定，原则上行业领军企业每次评定不超过5家，骨干企业每次评定不超过10家，行业领军人才每次评定不超过10人。</w:t>
      </w:r>
    </w:p>
    <w:p>
      <w:pPr>
        <w:widowControl/>
        <w:ind w:firstLine="640"/>
        <w:contextualSpacing/>
        <w:rPr>
          <w:rFonts w:ascii="仿宋_GB2312" w:hAnsi="仿宋" w:cs="黑体"/>
        </w:rPr>
      </w:pPr>
      <w:r>
        <w:rPr>
          <w:rFonts w:hint="eastAsia" w:ascii="仿宋_GB2312" w:hAnsi="仿宋" w:cs="黑体"/>
          <w:b/>
        </w:rPr>
        <w:t>第五条</w:t>
      </w:r>
      <w:r>
        <w:rPr>
          <w:rFonts w:hint="eastAsia" w:ascii="仿宋_GB2312" w:hAnsi="仿宋" w:cs="黑体"/>
        </w:rPr>
        <w:t xml:space="preserve">  </w:t>
      </w:r>
      <w:r>
        <w:rPr>
          <w:rFonts w:hint="eastAsia" w:ascii="仿宋_GB2312" w:hAnsi="仿宋"/>
        </w:rPr>
        <w:t>申报省级人力资源服务行业领军企业、骨干企业对象为在本省行政区域内依法登记注册三年以上，具备独立法人资格</w:t>
      </w:r>
      <w:r>
        <w:rPr>
          <w:rFonts w:hint="eastAsia" w:ascii="仿宋_GB2312" w:hAnsi="仿宋" w:cs="宋体"/>
          <w:kern w:val="0"/>
          <w:szCs w:val="24"/>
        </w:rPr>
        <w:t>的经营性人力资源服务机构；</w:t>
      </w:r>
      <w:r>
        <w:rPr>
          <w:rFonts w:hint="eastAsia" w:ascii="仿宋_GB2312" w:hAnsi="仿宋"/>
        </w:rPr>
        <w:t>申报省级人力资源服务行业领军人才对象为本省经营性人力资源服务机构经营管理主要负责人或服务产品与技术开发主要负责人。</w:t>
      </w:r>
    </w:p>
    <w:p>
      <w:pPr>
        <w:widowControl/>
        <w:ind w:firstLine="640"/>
        <w:contextualSpacing/>
        <w:rPr>
          <w:rFonts w:ascii="仿宋_GB2312" w:hAnsi="仿宋"/>
        </w:rPr>
      </w:pPr>
      <w:r>
        <w:rPr>
          <w:rFonts w:hint="eastAsia" w:ascii="仿宋_GB2312" w:hAnsi="仿宋"/>
          <w:b/>
          <w:bCs/>
        </w:rPr>
        <w:t>第六条</w:t>
      </w:r>
      <w:r>
        <w:rPr>
          <w:rFonts w:hint="eastAsia" w:ascii="仿宋_GB2312" w:hAnsi="仿宋"/>
        </w:rPr>
        <w:t xml:space="preserve">  申报省级人力资源服务行业领军企业应具备以下基本条件：</w:t>
      </w:r>
    </w:p>
    <w:p>
      <w:pPr>
        <w:widowControl/>
        <w:ind w:firstLine="640"/>
        <w:contextualSpacing/>
        <w:rPr>
          <w:rFonts w:ascii="仿宋_GB2312" w:hAnsi="仿宋"/>
        </w:rPr>
      </w:pPr>
      <w:r>
        <w:rPr>
          <w:rFonts w:hint="eastAsia" w:ascii="仿宋_GB2312" w:hAnsi="仿宋"/>
        </w:rPr>
        <w:t>（一）守法经营，</w:t>
      </w:r>
      <w:r>
        <w:rPr>
          <w:rFonts w:hint="eastAsia" w:ascii="仿宋_GB2312" w:hAnsi="仿宋" w:cs="宋体"/>
          <w:kern w:val="0"/>
        </w:rPr>
        <w:t>管理规范，</w:t>
      </w:r>
      <w:r>
        <w:rPr>
          <w:rFonts w:hint="eastAsia" w:ascii="仿宋_GB2312" w:hAnsi="仿宋"/>
        </w:rPr>
        <w:t>依法纳税和缴纳社会保险，获评我省人力资源服务机构“AAA”级以上诚信等级单位。近三年</w:t>
      </w:r>
      <w:r>
        <w:rPr>
          <w:rFonts w:hint="eastAsia" w:ascii="仿宋_GB2312" w:hAnsi="仿宋" w:cs="微软雅黑"/>
        </w:rPr>
        <w:t>未列入经营异常名录和各类“黑名单”，无重大安全质量责任事故。</w:t>
      </w:r>
    </w:p>
    <w:p>
      <w:pPr>
        <w:widowControl/>
        <w:ind w:firstLine="640"/>
        <w:contextualSpacing/>
        <w:rPr>
          <w:rFonts w:ascii="仿宋_GB2312" w:hAnsi="仿宋"/>
        </w:rPr>
      </w:pPr>
      <w:r>
        <w:rPr>
          <w:rFonts w:hint="eastAsia" w:ascii="仿宋_GB2312" w:hAnsi="仿宋"/>
        </w:rPr>
        <w:t>（二）有较强的服务能力、市场竞争力和社会影响力，近三年营业收入持续保持稳定较快增长，在本省年均纳税合计（含分支机构）300万元以上且在省内同行业处于领先地位。</w:t>
      </w:r>
    </w:p>
    <w:p>
      <w:pPr>
        <w:ind w:firstLine="632" w:firstLineChars="200"/>
        <w:contextualSpacing/>
        <w:rPr>
          <w:rFonts w:ascii="仿宋_GB2312"/>
        </w:rPr>
      </w:pPr>
      <w:r>
        <w:rPr>
          <w:rFonts w:hint="eastAsia" w:ascii="仿宋_GB2312"/>
        </w:rPr>
        <w:t>（三）注重人才队伍建设，大学本科以上学历员工数（包括三级以上企业人力资源管理师、劳动关系协调员）占企业员工总数（不含派遣外包员工）的比例不低于40%，在服务产品、服务模式或服务业态方面有较强的创新能力。</w:t>
      </w:r>
    </w:p>
    <w:p>
      <w:pPr>
        <w:ind w:firstLine="632" w:firstLineChars="200"/>
      </w:pPr>
      <w:r>
        <w:rPr>
          <w:rFonts w:hint="eastAsia"/>
        </w:rPr>
        <w:t>（四）注重信息化建设，建有企业网站和信息化业务经办系统，有技术含量高的核心产品。</w:t>
      </w:r>
    </w:p>
    <w:p>
      <w:pPr>
        <w:ind w:firstLine="632" w:firstLineChars="200"/>
      </w:pPr>
      <w:r>
        <w:rPr>
          <w:rFonts w:hint="eastAsia"/>
        </w:rPr>
        <w:t>（五）注重企业文化和品牌建设，勇于承担社会责任，积极配合、参与各级政府组织开展的统计调研、稳岗援企、人才招聘、</w:t>
      </w:r>
    </w:p>
    <w:p>
      <w:bookmarkStart w:id="10" w:name="_GoBack"/>
      <w:bookmarkEnd w:id="10"/>
      <w:r>
        <w:rPr>
          <w:rFonts w:hint="eastAsia"/>
        </w:rPr>
        <w:t>就业援助、乡村振兴等公益性活动，具有良好的企业形象。</w:t>
      </w:r>
    </w:p>
    <w:p>
      <w:pPr>
        <w:widowControl/>
        <w:ind w:firstLine="632" w:firstLineChars="200"/>
        <w:contextualSpacing/>
        <w:rPr>
          <w:rFonts w:ascii="仿宋_GB2312" w:hAnsi="仿宋" w:cs="黑体"/>
        </w:rPr>
      </w:pPr>
      <w:r>
        <w:rPr>
          <w:rFonts w:hint="eastAsia" w:ascii="仿宋_GB2312" w:hAnsi="仿宋" w:cs="黑体"/>
        </w:rPr>
        <w:t>（六）示范作用突出，协助政府和行业组织开展行业诚信体系建设，积极参与人力资源服务交流合作、供需对接等重大活动，促进行业有序竞争和健康发展。</w:t>
      </w:r>
    </w:p>
    <w:p>
      <w:pPr>
        <w:widowControl/>
        <w:contextualSpacing/>
        <w:rPr>
          <w:rFonts w:ascii="仿宋_GB2312" w:hAnsi="仿宋" w:cs="黑体"/>
        </w:rPr>
      </w:pPr>
      <w:r>
        <w:rPr>
          <w:rFonts w:hint="eastAsia" w:ascii="仿宋_GB2312" w:hAnsi="仿宋" w:cs="黑体"/>
        </w:rPr>
        <w:t xml:space="preserve">     </w:t>
      </w:r>
      <w:r>
        <w:rPr>
          <w:rFonts w:hint="eastAsia" w:ascii="仿宋_GB2312" w:hAnsi="仿宋" w:cs="黑体"/>
          <w:b/>
          <w:bCs/>
        </w:rPr>
        <w:t>第七条</w:t>
      </w:r>
      <w:r>
        <w:rPr>
          <w:rFonts w:hint="eastAsia" w:ascii="仿宋_GB2312" w:hAnsi="仿宋" w:cs="黑体"/>
        </w:rPr>
        <w:t xml:space="preserve">  申报省级人力资源服务行业骨干企业应具备以下基本条件：</w:t>
      </w:r>
    </w:p>
    <w:p>
      <w:pPr>
        <w:widowControl/>
        <w:ind w:firstLine="640"/>
        <w:contextualSpacing/>
        <w:rPr>
          <w:rFonts w:ascii="仿宋_GB2312" w:hAnsi="仿宋" w:cs="黑体"/>
        </w:rPr>
      </w:pPr>
      <w:r>
        <w:rPr>
          <w:rFonts w:hint="eastAsia" w:ascii="仿宋_GB2312" w:hAnsi="仿宋"/>
        </w:rPr>
        <w:t>（一）守法经营，</w:t>
      </w:r>
      <w:r>
        <w:rPr>
          <w:rFonts w:hint="eastAsia" w:ascii="仿宋_GB2312" w:hAnsi="仿宋" w:cs="宋体"/>
          <w:kern w:val="0"/>
        </w:rPr>
        <w:t>管理规范，</w:t>
      </w:r>
      <w:r>
        <w:rPr>
          <w:rFonts w:hint="eastAsia" w:ascii="仿宋_GB2312" w:hAnsi="仿宋"/>
        </w:rPr>
        <w:t>依法纳税和缴纳社会保险，获评我省人力资源服务机构“AA”级以上诚信等级单位。近三年</w:t>
      </w:r>
      <w:r>
        <w:rPr>
          <w:rFonts w:hint="eastAsia" w:ascii="仿宋_GB2312" w:hAnsi="仿宋" w:cs="微软雅黑"/>
        </w:rPr>
        <w:t>未列入经营异常名录和各类“黑名单”，无重大安全质量责任事故。</w:t>
      </w:r>
    </w:p>
    <w:p>
      <w:pPr>
        <w:ind w:firstLine="632" w:firstLineChars="200"/>
        <w:contextualSpacing/>
        <w:rPr>
          <w:rFonts w:ascii="仿宋_GB2312" w:hAnsi="仿宋" w:cs="黑体"/>
        </w:rPr>
      </w:pPr>
      <w:r>
        <w:rPr>
          <w:rFonts w:hint="eastAsia" w:ascii="仿宋_GB2312" w:hAnsi="仿宋" w:cs="黑体"/>
          <w:color w:val="212529"/>
        </w:rPr>
        <w:t>（二）</w:t>
      </w:r>
      <w:r>
        <w:rPr>
          <w:rFonts w:hint="eastAsia" w:ascii="仿宋_GB2312" w:hAnsi="仿宋" w:cs="黑体"/>
        </w:rPr>
        <w:t>竞争实力较强，经营业务特色较为鲜明，拥有一定技术含量的核心品牌产品，同类产品市场占有率较高且发展前景较好，近三年年均纳税达100万元以上。</w:t>
      </w:r>
    </w:p>
    <w:p>
      <w:pPr>
        <w:ind w:firstLine="632" w:firstLineChars="200"/>
        <w:contextualSpacing/>
        <w:rPr>
          <w:rFonts w:ascii="仿宋_GB2312" w:hAnsi="仿宋" w:cs="黑体"/>
        </w:rPr>
      </w:pPr>
      <w:r>
        <w:rPr>
          <w:rFonts w:hint="eastAsia" w:ascii="仿宋_GB2312" w:hAnsi="仿宋" w:cs="黑体"/>
        </w:rPr>
        <w:t>（三）</w:t>
      </w:r>
      <w:r>
        <w:rPr>
          <w:rFonts w:hint="eastAsia" w:ascii="仿宋_GB2312" w:hAnsi="仿宋"/>
        </w:rPr>
        <w:t>注重人才队伍建设</w:t>
      </w:r>
      <w:r>
        <w:rPr>
          <w:rFonts w:hint="eastAsia" w:ascii="仿宋_GB2312" w:hAnsi="仿宋" w:cs="黑体"/>
        </w:rPr>
        <w:t>，大学本科以上学历员工数（包括企业人力资源管理师、劳动关系协调员）占企业员工总数（不含派遣外包员工）的比例不低于30%。</w:t>
      </w:r>
    </w:p>
    <w:p>
      <w:pPr>
        <w:ind w:firstLine="632" w:firstLineChars="200"/>
        <w:contextualSpacing/>
        <w:rPr>
          <w:rFonts w:ascii="仿宋_GB2312" w:hAnsi="仿宋" w:cs="黑体"/>
        </w:rPr>
      </w:pPr>
      <w:r>
        <w:rPr>
          <w:rFonts w:hint="eastAsia" w:ascii="仿宋_GB2312" w:hAnsi="仿宋" w:cs="黑体"/>
        </w:rPr>
        <w:t>（四）注重企业文化建设和参与社会公益活动，积极参与人力资源服务交流合作、供需对接等重大活动，在服务就业创业、人才引育等方面业绩突出，具有良好的企业形象。</w:t>
      </w:r>
    </w:p>
    <w:p>
      <w:pPr>
        <w:ind w:firstLine="632" w:firstLineChars="200"/>
      </w:pPr>
      <w:r>
        <w:rPr>
          <w:rFonts w:hint="eastAsia"/>
          <w:b/>
        </w:rPr>
        <w:t>第八条</w:t>
      </w:r>
      <w:r>
        <w:rPr>
          <w:rFonts w:hint="eastAsia"/>
        </w:rPr>
        <w:t xml:space="preserve">  申报省级人力资源服务行业领军人才应具备以下基本条件：</w:t>
      </w:r>
    </w:p>
    <w:p>
      <w:pPr>
        <w:ind w:firstLine="632" w:firstLineChars="200"/>
      </w:pPr>
      <w:r>
        <w:rPr>
          <w:rFonts w:hint="eastAsia"/>
        </w:rPr>
        <w:t>（一）拥护党的领导，热爱祖国，遵纪守法，作风正派，具有良好的思想品德和职业道德，无违法犯罪记录，未在列个人征信“黑名单”。</w:t>
      </w:r>
    </w:p>
    <w:p>
      <w:pPr>
        <w:widowControl/>
        <w:ind w:firstLine="640"/>
        <w:contextualSpacing/>
        <w:rPr>
          <w:rFonts w:ascii="仿宋_GB2312" w:hAnsi="仿宋"/>
        </w:rPr>
      </w:pPr>
      <w:r>
        <w:rPr>
          <w:rFonts w:hint="eastAsia" w:ascii="仿宋_GB2312" w:hAnsi="仿宋"/>
        </w:rPr>
        <w:t>（二）原则上应具有大学本科以上学历，并从事本行业五年以上，具有丰富的专业理论知识和实践经验，在生产经营管理、服务产品开发、技术模式创新或专业理论研究等方面成绩突出，业内认可度较高，</w:t>
      </w:r>
      <w:r>
        <w:t>获得过</w:t>
      </w:r>
      <w:r>
        <w:rPr>
          <w:rFonts w:hint="eastAsia"/>
        </w:rPr>
        <w:t>相关</w:t>
      </w:r>
      <w:r>
        <w:t>荣誉</w:t>
      </w:r>
      <w:r>
        <w:rPr>
          <w:rFonts w:hint="eastAsia" w:ascii="仿宋_GB2312" w:hAnsi="仿宋"/>
        </w:rPr>
        <w:t>。</w:t>
      </w:r>
    </w:p>
    <w:p>
      <w:pPr>
        <w:ind w:firstLine="632" w:firstLineChars="200"/>
        <w:contextualSpacing/>
        <w:rPr>
          <w:rFonts w:ascii="仿宋_GB2312" w:hAnsi="仿宋" w:cs="黑体"/>
        </w:rPr>
      </w:pPr>
      <w:r>
        <w:rPr>
          <w:rFonts w:hint="eastAsia" w:ascii="仿宋_GB2312" w:hAnsi="仿宋"/>
        </w:rPr>
        <w:t>（三）所在企业守法经营，</w:t>
      </w:r>
      <w:r>
        <w:rPr>
          <w:rFonts w:hint="eastAsia" w:ascii="仿宋_GB2312" w:hAnsi="仿宋" w:cs="宋体"/>
          <w:kern w:val="0"/>
        </w:rPr>
        <w:t>管理规范，依法纳税，</w:t>
      </w:r>
      <w:r>
        <w:rPr>
          <w:rFonts w:hint="eastAsia" w:ascii="仿宋_GB2312" w:hAnsi="仿宋"/>
        </w:rPr>
        <w:t>综合业务或单项业务服务能力、市场竞争力和经济贡献在全省处于前列，</w:t>
      </w:r>
      <w:r>
        <w:rPr>
          <w:rFonts w:hint="eastAsia" w:ascii="仿宋_GB2312" w:hAnsi="仿宋" w:cs="宋体"/>
          <w:kern w:val="0"/>
        </w:rPr>
        <w:t>近三年</w:t>
      </w:r>
      <w:r>
        <w:rPr>
          <w:rFonts w:hint="eastAsia" w:ascii="仿宋_GB2312" w:hAnsi="仿宋" w:cs="微软雅黑"/>
        </w:rPr>
        <w:t>未列入经营异常名录和各类“黑名单”，无重大安全质量责任事故。</w:t>
      </w:r>
    </w:p>
    <w:p>
      <w:pPr>
        <w:ind w:firstLine="632" w:firstLineChars="200"/>
        <w:contextualSpacing/>
        <w:rPr>
          <w:rFonts w:ascii="仿宋_GB2312" w:hAnsi="仿宋" w:cs="黑体"/>
        </w:rPr>
      </w:pPr>
      <w:r>
        <w:rPr>
          <w:rFonts w:hint="eastAsia" w:ascii="仿宋_GB2312" w:hAnsi="仿宋" w:cs="黑体"/>
        </w:rPr>
        <w:t>（四）大力宣传江西人力资源服务业发展成果，促进产业招商；积极参与学术研讨、业务交流、培训提升、相关评审等行业活动；为行业发展建言献策，助力行业高质量发展。</w:t>
      </w:r>
    </w:p>
    <w:p>
      <w:pPr>
        <w:ind w:firstLine="632" w:firstLineChars="200"/>
        <w:contextualSpacing/>
      </w:pPr>
      <w:bookmarkStart w:id="6" w:name="6"/>
      <w:r>
        <w:rPr>
          <w:rFonts w:hint="eastAsia"/>
          <w:b/>
          <w:bCs/>
        </w:rPr>
        <w:t>第九条</w:t>
      </w:r>
      <w:bookmarkEnd w:id="6"/>
      <w:r>
        <w:rPr>
          <w:rFonts w:hint="eastAsia"/>
        </w:rPr>
        <w:t>　省级人力资源服务行业领军企业、骨干企业和领军人才按照自愿申报、部门推荐、专家评审、社会公示、行文确定等程序产生。</w:t>
      </w:r>
    </w:p>
    <w:p>
      <w:pPr>
        <w:widowControl/>
        <w:ind w:firstLine="640"/>
        <w:contextualSpacing/>
        <w:rPr>
          <w:rFonts w:ascii="仿宋_GB2312" w:hAnsi="仿宋"/>
        </w:rPr>
      </w:pPr>
      <w:r>
        <w:rPr>
          <w:rFonts w:hint="eastAsia" w:ascii="仿宋_GB2312" w:hAnsi="仿宋" w:cs="黑体"/>
          <w:bCs/>
        </w:rPr>
        <w:t>（一）自愿申报。</w:t>
      </w:r>
      <w:r>
        <w:rPr>
          <w:rFonts w:hint="eastAsia" w:ascii="仿宋_GB2312" w:hAnsi="仿宋"/>
        </w:rPr>
        <w:t>企业或个人向所在县（市、区）人社部门提交申报材料。</w:t>
      </w:r>
    </w:p>
    <w:p>
      <w:pPr>
        <w:ind w:firstLine="632" w:firstLineChars="200"/>
      </w:pPr>
      <w:r>
        <w:rPr>
          <w:rFonts w:hint="eastAsia"/>
        </w:rPr>
        <w:t>（二）部门推荐。县（市、区）人社部门提出初审意见。设区市人社部门（赣江新区社会发展局）进行复核并提出推荐意见。</w:t>
      </w:r>
    </w:p>
    <w:p>
      <w:pPr>
        <w:ind w:firstLine="632" w:firstLineChars="200"/>
      </w:pPr>
      <w:r>
        <w:rPr>
          <w:rFonts w:hint="eastAsia"/>
        </w:rPr>
        <w:t>（三）专家评审。省人社厅组织行业协会及有关专家，按照申报条件，通过查阅核实相关资料、实地考核等方式进行综合评审，提出拟认定名单。</w:t>
      </w:r>
    </w:p>
    <w:p>
      <w:pPr>
        <w:widowControl/>
        <w:ind w:firstLine="640"/>
        <w:contextualSpacing/>
        <w:rPr>
          <w:rFonts w:ascii="仿宋_GB2312" w:hAnsi="仿宋" w:cs="黑体"/>
          <w:b/>
        </w:rPr>
      </w:pPr>
      <w:r>
        <w:rPr>
          <w:rFonts w:hint="eastAsia" w:ascii="仿宋_GB2312" w:hAnsi="仿宋" w:cs="黑体"/>
          <w:bCs/>
        </w:rPr>
        <w:t>（四）社会公示。将拟认定</w:t>
      </w:r>
      <w:r>
        <w:rPr>
          <w:rFonts w:hint="eastAsia" w:ascii="仿宋_GB2312" w:hAnsi="仿宋"/>
        </w:rPr>
        <w:t>名单在省人社厅门户网站向社会公示7天，接受社会监督。</w:t>
      </w:r>
    </w:p>
    <w:p>
      <w:pPr>
        <w:widowControl/>
        <w:ind w:firstLine="640"/>
        <w:contextualSpacing/>
        <w:rPr>
          <w:rFonts w:ascii="仿宋_GB2312" w:hAnsi="仿宋"/>
        </w:rPr>
      </w:pPr>
      <w:r>
        <w:rPr>
          <w:rFonts w:hint="eastAsia" w:ascii="仿宋_GB2312" w:hAnsi="仿宋" w:cs="黑体"/>
          <w:bCs/>
        </w:rPr>
        <w:t>（五）行文确定。对</w:t>
      </w:r>
      <w:r>
        <w:rPr>
          <w:rFonts w:hint="eastAsia" w:ascii="仿宋_GB2312" w:hAnsi="仿宋"/>
        </w:rPr>
        <w:t>公示期满无异议的，按程序行文确定，并颁发相关标牌或证书。</w:t>
      </w:r>
    </w:p>
    <w:p>
      <w:pPr>
        <w:widowControl/>
        <w:ind w:firstLine="632" w:firstLineChars="200"/>
        <w:contextualSpacing/>
        <w:rPr>
          <w:rFonts w:ascii="仿宋_GB2312" w:hAnsi="仿宋"/>
        </w:rPr>
      </w:pPr>
      <w:bookmarkStart w:id="7" w:name="9"/>
      <w:r>
        <w:rPr>
          <w:rFonts w:hint="eastAsia" w:ascii="仿宋_GB2312" w:hAnsi="仿宋"/>
          <w:b/>
        </w:rPr>
        <w:t xml:space="preserve">第十条  </w:t>
      </w:r>
      <w:r>
        <w:rPr>
          <w:rFonts w:hint="eastAsia" w:ascii="仿宋_GB2312" w:hAnsi="仿宋"/>
          <w:bCs/>
        </w:rPr>
        <w:t>各级人社部门在推荐和评审过程中应严格遵守工作纪律，认真履行工作职责，严把材料审核关。对因玩忽职守、营私舞弊造成不良后果的，依法追究相关责任。</w:t>
      </w:r>
    </w:p>
    <w:p>
      <w:pPr>
        <w:widowControl/>
        <w:ind w:firstLine="632" w:firstLineChars="200"/>
        <w:contextualSpacing/>
        <w:rPr>
          <w:rFonts w:ascii="仿宋_GB2312" w:hAnsi="仿宋"/>
        </w:rPr>
      </w:pPr>
      <w:r>
        <w:rPr>
          <w:rFonts w:hint="eastAsia" w:ascii="仿宋_GB2312" w:hAnsi="仿宋"/>
          <w:b/>
          <w:bCs/>
        </w:rPr>
        <w:t>第十一条</w:t>
      </w:r>
      <w:r>
        <w:rPr>
          <w:rFonts w:hint="eastAsia" w:ascii="仿宋_GB2312" w:hAnsi="仿宋"/>
        </w:rPr>
        <w:t xml:space="preserve">  申报企业和个人有下列情形之一的，取消参评资格</w:t>
      </w:r>
      <w:r>
        <w:rPr>
          <w:rFonts w:ascii="仿宋_GB2312" w:hAnsi="仿宋"/>
          <w:lang w:val="en"/>
        </w:rPr>
        <w:t>,</w:t>
      </w:r>
      <w:r>
        <w:rPr>
          <w:rFonts w:hint="eastAsia" w:ascii="仿宋_GB2312" w:hAnsi="仿宋"/>
        </w:rPr>
        <w:t>或取消相关待遇并收回标牌</w:t>
      </w:r>
      <w:r>
        <w:rPr>
          <w:rFonts w:ascii="仿宋_GB2312" w:hAnsi="仿宋"/>
          <w:lang w:val="en"/>
        </w:rPr>
        <w:t>(</w:t>
      </w:r>
      <w:r>
        <w:rPr>
          <w:rFonts w:hint="eastAsia" w:ascii="仿宋_GB2312" w:hAnsi="仿宋"/>
        </w:rPr>
        <w:t>证书</w:t>
      </w:r>
      <w:r>
        <w:rPr>
          <w:rFonts w:ascii="仿宋_GB2312" w:hAnsi="仿宋"/>
          <w:lang w:val="en"/>
        </w:rPr>
        <w:t>)</w:t>
      </w:r>
      <w:r>
        <w:rPr>
          <w:rFonts w:hint="eastAsia" w:ascii="仿宋_GB2312" w:hAnsi="仿宋"/>
        </w:rPr>
        <w:t>，对获得的政府一次性奖励予以追回：</w:t>
      </w:r>
    </w:p>
    <w:p>
      <w:pPr>
        <w:widowControl/>
        <w:ind w:firstLine="632" w:firstLineChars="200"/>
        <w:contextualSpacing/>
        <w:rPr>
          <w:rFonts w:ascii="仿宋_GB2312" w:hAnsi="仿宋"/>
        </w:rPr>
      </w:pPr>
      <w:r>
        <w:rPr>
          <w:rFonts w:hint="eastAsia" w:ascii="仿宋_GB2312" w:hAnsi="仿宋"/>
        </w:rPr>
        <w:t>（一）</w:t>
      </w:r>
      <w:r>
        <w:rPr>
          <w:rFonts w:hint="eastAsia" w:ascii="仿宋_GB2312"/>
        </w:rPr>
        <w:t>发生重大劳动纠纷、劳动安全等问题的；</w:t>
      </w:r>
    </w:p>
    <w:p>
      <w:pPr>
        <w:widowControl/>
        <w:ind w:firstLine="632" w:firstLineChars="200"/>
        <w:contextualSpacing/>
        <w:rPr>
          <w:rFonts w:ascii="仿宋_GB2312"/>
        </w:rPr>
      </w:pPr>
      <w:r>
        <w:rPr>
          <w:rFonts w:hint="eastAsia" w:ascii="仿宋_GB2312" w:hAnsi="仿宋"/>
        </w:rPr>
        <w:t>（二）</w:t>
      </w:r>
      <w:r>
        <w:rPr>
          <w:rFonts w:hint="eastAsia" w:ascii="仿宋_GB2312"/>
        </w:rPr>
        <w:t>在人力资源管理和服务活动中因违法违规行为受到处罚，或因不当行为造成重大经济损失、恶劣社会影响的；</w:t>
      </w:r>
    </w:p>
    <w:p>
      <w:pPr>
        <w:widowControl/>
        <w:ind w:firstLine="632" w:firstLineChars="200"/>
        <w:contextualSpacing/>
        <w:rPr>
          <w:rFonts w:ascii="仿宋_GB2312"/>
        </w:rPr>
      </w:pPr>
      <w:r>
        <w:rPr>
          <w:rFonts w:hint="eastAsia" w:ascii="仿宋_GB2312"/>
        </w:rPr>
        <w:t>（三）申报材料不实、弄虚作假的。</w:t>
      </w:r>
    </w:p>
    <w:p>
      <w:pPr>
        <w:widowControl/>
        <w:ind w:firstLine="592" w:firstLineChars="200"/>
        <w:contextualSpacing/>
        <w:jc w:val="left"/>
        <w:rPr>
          <w:rFonts w:ascii="仿宋_GB2312" w:hAnsi="仿宋"/>
          <w:spacing w:val="-10"/>
        </w:rPr>
      </w:pPr>
      <w:r>
        <w:rPr>
          <w:rFonts w:hint="eastAsia" w:ascii="仿宋_GB2312" w:hAnsi="仿宋"/>
          <w:spacing w:val="-10"/>
        </w:rPr>
        <w:t>存在前款规定情形之一的，自处理之日起4年之内不得再次申报。</w:t>
      </w:r>
    </w:p>
    <w:p>
      <w:pPr>
        <w:widowControl/>
        <w:ind w:firstLine="640"/>
        <w:contextualSpacing/>
        <w:rPr>
          <w:rFonts w:ascii="仿宋_GB2312" w:hAnsi="仿宋" w:cs="黑体"/>
        </w:rPr>
      </w:pPr>
      <w:bookmarkStart w:id="8" w:name="14"/>
      <w:r>
        <w:rPr>
          <w:rFonts w:hint="eastAsia" w:ascii="仿宋_GB2312" w:hAnsi="仿宋" w:cs="黑体"/>
          <w:b/>
        </w:rPr>
        <w:t>第十二条</w:t>
      </w:r>
      <w:bookmarkEnd w:id="8"/>
      <w:r>
        <w:rPr>
          <w:rFonts w:hint="eastAsia" w:ascii="仿宋_GB2312" w:hAnsi="仿宋" w:cs="黑体"/>
        </w:rPr>
        <w:t xml:space="preserve">  </w:t>
      </w:r>
      <w:r>
        <w:rPr>
          <w:rFonts w:hint="eastAsia" w:ascii="仿宋_GB2312" w:hAnsi="仿宋"/>
        </w:rPr>
        <w:t>本办法自印发之日起施行。《江西省人力资源和社会保障厅关于印发&lt;江西省省级人力资源服务行业领军企业、骨干企业和领军人才评定管理办法&gt;的通知》（赣人社发〔2023〕23号）同时废止。</w:t>
      </w:r>
    </w:p>
    <w:p>
      <w:pPr>
        <w:widowControl/>
        <w:ind w:firstLine="632" w:firstLineChars="200"/>
        <w:contextualSpacing/>
        <w:rPr>
          <w:rFonts w:ascii="仿宋_GB2312" w:hAnsi="仿宋"/>
        </w:rPr>
      </w:pPr>
      <w:bookmarkStart w:id="9" w:name="15"/>
      <w:r>
        <w:rPr>
          <w:rFonts w:hint="eastAsia" w:ascii="仿宋_GB2312" w:hAnsi="仿宋" w:cs="黑体"/>
          <w:b/>
        </w:rPr>
        <w:t>第十三条</w:t>
      </w:r>
      <w:bookmarkEnd w:id="9"/>
      <w:r>
        <w:rPr>
          <w:rFonts w:hint="eastAsia" w:ascii="仿宋_GB2312" w:hAnsi="仿宋" w:cs="黑体"/>
        </w:rPr>
        <w:t xml:space="preserve">  </w:t>
      </w:r>
      <w:r>
        <w:rPr>
          <w:rFonts w:hint="eastAsia" w:ascii="仿宋_GB2312" w:hAnsi="仿宋"/>
        </w:rPr>
        <w:t>本办法由省人力资源和社会保障厅负责解释。</w:t>
      </w:r>
      <w:bookmarkEnd w:id="5"/>
      <w:bookmarkEnd w:id="7"/>
    </w:p>
    <w:p>
      <w:pPr>
        <w:ind w:right="480"/>
        <w:contextualSpacing/>
        <w:jc w:val="left"/>
      </w:pPr>
    </w:p>
    <w:p>
      <w:pPr>
        <w:rPr>
          <w:rFonts w:ascii="仿宋_GB2312"/>
          <w:szCs w:val="32"/>
        </w:rPr>
      </w:pPr>
    </w:p>
    <w:p>
      <w:pPr>
        <w:spacing w:line="560" w:lineRule="exact"/>
        <w:rPr>
          <w:rFonts w:ascii="仿宋_GB2312"/>
          <w:szCs w:val="32"/>
        </w:rPr>
      </w:pPr>
    </w:p>
    <w:p>
      <w:pPr>
        <w:spacing w:line="560" w:lineRule="exact"/>
        <w:rPr>
          <w:rFonts w:ascii="仿宋_GB2312"/>
          <w:szCs w:val="32"/>
        </w:rPr>
      </w:pPr>
    </w:p>
    <w:p>
      <w:pPr>
        <w:rPr>
          <w:rFonts w:ascii="仿宋_GB2312"/>
          <w:szCs w:val="32"/>
        </w:rPr>
      </w:pPr>
    </w:p>
    <w:p>
      <w:pPr>
        <w:rPr>
          <w:rFonts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hint="eastAsia" w:ascii="仿宋_GB2312"/>
          <w:szCs w:val="32"/>
        </w:rPr>
      </w:pPr>
    </w:p>
    <w:p>
      <w:pPr>
        <w:rPr>
          <w:rFonts w:ascii="仿宋_GB2312"/>
          <w:szCs w:val="32"/>
        </w:rPr>
      </w:pPr>
    </w:p>
    <w:p>
      <w:pPr>
        <w:rPr>
          <w:rFonts w:ascii="仿宋_GB2312"/>
          <w:szCs w:val="32"/>
        </w:rPr>
      </w:pPr>
    </w:p>
    <w:p>
      <w:pPr>
        <w:rPr>
          <w:rFonts w:ascii="仿宋_GB2312"/>
          <w:szCs w:val="32"/>
        </w:rPr>
      </w:pPr>
    </w:p>
    <w:p>
      <w:pPr>
        <w:rPr>
          <w:rFonts w:hint="eastAsia" w:ascii="仿宋_GB2312"/>
          <w:szCs w:val="32"/>
        </w:rPr>
      </w:pPr>
    </w:p>
    <w:p>
      <w:pPr>
        <w:rPr>
          <w:rFonts w:ascii="仿宋_GB2312"/>
          <w:szCs w:val="32"/>
        </w:rPr>
      </w:pPr>
    </w:p>
    <w:p>
      <w:pPr>
        <w:spacing w:after="579" w:afterLines="100"/>
        <w:jc w:val="left"/>
        <w:rPr>
          <w:rFonts w:hint="eastAsia" w:ascii="仿宋_GB2312" w:hAnsi="宋体"/>
          <w:szCs w:val="32"/>
        </w:rPr>
      </w:pPr>
    </w:p>
    <w:p>
      <w:pPr>
        <w:ind w:right="316" w:rightChars="100" w:firstLine="158" w:firstLineChars="50"/>
        <w:rPr>
          <w:rFonts w:hint="eastAsia" w:ascii="仿宋_GB2312"/>
          <w:sz w:val="28"/>
          <w:szCs w:val="28"/>
        </w:rPr>
      </w:pPr>
      <w:r>
        <w:rPr>
          <w:rFonts w:hint="eastAsia"/>
        </w:rPr>
        <w:pict>
          <v:line id="直线 2" o:spid="_x0000_s1028" o:spt="20" style="position:absolute;left:0pt;margin-left:0pt;margin-top:29pt;height:0pt;width:442.2pt;z-index:251662336;mso-width-relative:page;mso-height-relative:page;" coordsize="21600,21600">
            <v:path arrowok="t"/>
            <v:fill focussize="0,0"/>
            <v:stroke weight="1pt"/>
            <v:imagedata o:title=""/>
            <o:lock v:ext="edit"/>
          </v:line>
        </w:pict>
      </w:r>
      <w:r>
        <w:rPr>
          <w:rFonts w:hint="eastAsia"/>
        </w:rPr>
        <w:pict>
          <v:line id="直线 3" o:spid="_x0000_s1029" o:spt="20" style="position:absolute;left:0pt;margin-left:0pt;margin-top:0.05pt;height:0pt;width:442.2pt;z-index:251663360;mso-width-relative:page;mso-height-relative:page;" coordsize="21600,21600">
            <v:path arrowok="t"/>
            <v:fill focussize="0,0"/>
            <v:stroke weight="1pt"/>
            <v:imagedata o:title=""/>
            <o:lock v:ext="edit"/>
          </v:line>
        </w:pict>
      </w:r>
      <w:r>
        <w:rPr>
          <w:rFonts w:hint="eastAsia" w:ascii="仿宋_GB2312"/>
          <w:sz w:val="28"/>
          <w:szCs w:val="28"/>
        </w:rPr>
        <w:t>江西省人力资源和社会保障厅办公室         2023年</w:t>
      </w:r>
      <w:r>
        <w:rPr>
          <w:rFonts w:hint="eastAsia" w:ascii="仿宋_GB2312" w:hAnsi="宋体"/>
          <w:sz w:val="28"/>
          <w:szCs w:val="28"/>
        </w:rPr>
        <w:t>12</w:t>
      </w:r>
      <w:r>
        <w:rPr>
          <w:rFonts w:hint="eastAsia" w:ascii="仿宋_GB2312"/>
          <w:sz w:val="28"/>
          <w:szCs w:val="28"/>
        </w:rPr>
        <w:t>月</w:t>
      </w:r>
      <w:r>
        <w:rPr>
          <w:rFonts w:hint="eastAsia" w:ascii="仿宋_GB2312" w:hAnsi="宋体"/>
          <w:sz w:val="28"/>
          <w:szCs w:val="28"/>
        </w:rPr>
        <w:t>29</w:t>
      </w:r>
      <w:r>
        <w:rPr>
          <w:rFonts w:hint="eastAsia" w:ascii="仿宋_GB2312"/>
          <w:sz w:val="28"/>
          <w:szCs w:val="28"/>
        </w:rPr>
        <w:t>日印发</w:t>
      </w:r>
    </w:p>
    <w:p>
      <w:pPr>
        <w:ind w:right="316" w:rightChars="100" w:firstLine="138" w:firstLineChars="50"/>
        <w:rPr>
          <w:rFonts w:ascii="仿宋_GB2312"/>
          <w:szCs w:val="32"/>
        </w:rPr>
      </w:pPr>
      <w:r>
        <w:rPr>
          <w:rFonts w:hint="eastAsia" w:ascii="仿宋_GB2312"/>
          <w:sz w:val="28"/>
          <w:szCs w:val="28"/>
        </w:rPr>
        <w:t>责任处室单位：厅流动管理处                       校对人：张莹</w:t>
      </w:r>
    </w:p>
    <w:sectPr>
      <w:footerReference r:id="rId3" w:type="default"/>
      <w:footerReference r:id="rId4" w:type="even"/>
      <w:pgSz w:w="11906" w:h="16838"/>
      <w:pgMar w:top="2098" w:right="1474" w:bottom="1985" w:left="1588" w:header="851" w:footer="1332"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小标宋">
    <w:altName w:val="宋体"/>
    <w:panose1 w:val="03000509000000000000"/>
    <w:charset w:val="86"/>
    <w:family w:val="script"/>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1436701"/>
    </w:sdtPr>
    <w:sdtEndPr>
      <w:rPr>
        <w:rFonts w:asciiTheme="majorEastAsia" w:hAnsiTheme="majorEastAsia" w:eastAsiaTheme="majorEastAsia"/>
        <w:sz w:val="28"/>
        <w:szCs w:val="28"/>
      </w:rPr>
    </w:sdtEndPr>
    <w:sdtContent>
      <w:p>
        <w:pPr>
          <w:pStyle w:val="4"/>
          <w:jc w:val="right"/>
          <w:rPr>
            <w:rFonts w:asciiTheme="majorEastAsia" w:hAnsiTheme="majorEastAsia" w:eastAsiaTheme="majorEastAsia"/>
            <w:sz w:val="28"/>
            <w:szCs w:val="28"/>
          </w:rPr>
        </w:pP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1</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8"/>
        <w:szCs w:val="28"/>
      </w:rPr>
      <w:id w:val="-426114657"/>
    </w:sdtPr>
    <w:sdtEndPr>
      <w:rPr>
        <w:rFonts w:asciiTheme="majorEastAsia" w:hAnsiTheme="majorEastAsia" w:eastAsiaTheme="majorEastAsia"/>
        <w:sz w:val="28"/>
        <w:szCs w:val="28"/>
      </w:rPr>
    </w:sdtEndPr>
    <w:sdtContent>
      <w:p>
        <w:pPr>
          <w:pStyle w:val="4"/>
          <w:rPr>
            <w:rFonts w:asciiTheme="majorEastAsia" w:hAnsiTheme="majorEastAsia" w:eastAsiaTheme="majorEastAsia"/>
            <w:sz w:val="28"/>
            <w:szCs w:val="28"/>
          </w:rPr>
        </w:pPr>
        <w:r>
          <w:rPr>
            <w:rFonts w:hint="eastAsia" w:asciiTheme="majorEastAsia" w:hAnsiTheme="majorEastAsia" w:eastAsiaTheme="majorEastAsia"/>
            <w:sz w:val="28"/>
            <w:szCs w:val="28"/>
          </w:rPr>
          <w:t xml:space="preserve">— </w:t>
        </w: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8</w:t>
        </w:r>
        <w:r>
          <w:rPr>
            <w:rFonts w:asciiTheme="majorEastAsia" w:hAnsiTheme="majorEastAsia" w:eastAsiaTheme="majorEastAsia"/>
            <w:sz w:val="28"/>
            <w:szCs w:val="28"/>
          </w:rPr>
          <w:fldChar w:fldCharType="end"/>
        </w:r>
        <w:r>
          <w:rPr>
            <w:rFonts w:hint="eastAsia" w:asciiTheme="majorEastAsia" w:hAnsiTheme="majorEastAsia" w:eastAsiaTheme="majorEastAsia"/>
            <w:sz w:val="28"/>
            <w:szCs w:val="28"/>
          </w:rPr>
          <w:t xml:space="preserve"> —</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evenAndOddHeaders w:val="true"/>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10.5.137.210/weaver/weaver.file.FileDownloadForNews?uuid=6e4133f3-3f86-457f-ba80-8cd7b6ecb4a8&amp;fileid=798098&amp;type=document&amp;isofficeview=0"/>
  </w:docVars>
  <w:rsids>
    <w:rsidRoot w:val="00641051"/>
    <w:rsid w:val="00074C2C"/>
    <w:rsid w:val="000751C9"/>
    <w:rsid w:val="000C1665"/>
    <w:rsid w:val="00143FEE"/>
    <w:rsid w:val="00172172"/>
    <w:rsid w:val="001C7E2B"/>
    <w:rsid w:val="00231749"/>
    <w:rsid w:val="00256BFC"/>
    <w:rsid w:val="002903D0"/>
    <w:rsid w:val="002A09D5"/>
    <w:rsid w:val="002C312D"/>
    <w:rsid w:val="002E137B"/>
    <w:rsid w:val="002F662A"/>
    <w:rsid w:val="00304FCF"/>
    <w:rsid w:val="00340ED2"/>
    <w:rsid w:val="003807D3"/>
    <w:rsid w:val="003C4739"/>
    <w:rsid w:val="003D2E24"/>
    <w:rsid w:val="003E1533"/>
    <w:rsid w:val="003E3D53"/>
    <w:rsid w:val="004317B9"/>
    <w:rsid w:val="00481CC5"/>
    <w:rsid w:val="004A5B35"/>
    <w:rsid w:val="00532A1F"/>
    <w:rsid w:val="005365FD"/>
    <w:rsid w:val="00572A1F"/>
    <w:rsid w:val="00577439"/>
    <w:rsid w:val="005E6619"/>
    <w:rsid w:val="006043DA"/>
    <w:rsid w:val="00641051"/>
    <w:rsid w:val="00655EA4"/>
    <w:rsid w:val="00691B74"/>
    <w:rsid w:val="00712610"/>
    <w:rsid w:val="00733ED8"/>
    <w:rsid w:val="007869B4"/>
    <w:rsid w:val="00796505"/>
    <w:rsid w:val="0083187B"/>
    <w:rsid w:val="008751BD"/>
    <w:rsid w:val="00893605"/>
    <w:rsid w:val="008A2BC2"/>
    <w:rsid w:val="008D5FFB"/>
    <w:rsid w:val="00925C49"/>
    <w:rsid w:val="00931D25"/>
    <w:rsid w:val="00932BCA"/>
    <w:rsid w:val="00936013"/>
    <w:rsid w:val="00943399"/>
    <w:rsid w:val="00952511"/>
    <w:rsid w:val="0096240B"/>
    <w:rsid w:val="009B2576"/>
    <w:rsid w:val="009B6262"/>
    <w:rsid w:val="009F5F7B"/>
    <w:rsid w:val="009F661D"/>
    <w:rsid w:val="00A404BE"/>
    <w:rsid w:val="00A55A36"/>
    <w:rsid w:val="00AB0502"/>
    <w:rsid w:val="00AC0A94"/>
    <w:rsid w:val="00B1773F"/>
    <w:rsid w:val="00BA6CB2"/>
    <w:rsid w:val="00C2077B"/>
    <w:rsid w:val="00C21A4E"/>
    <w:rsid w:val="00C553BF"/>
    <w:rsid w:val="00CB5506"/>
    <w:rsid w:val="00CB7164"/>
    <w:rsid w:val="00D070A5"/>
    <w:rsid w:val="00D17FBC"/>
    <w:rsid w:val="00D74E8D"/>
    <w:rsid w:val="00E03F00"/>
    <w:rsid w:val="00EF623C"/>
    <w:rsid w:val="00F12676"/>
    <w:rsid w:val="00FC1675"/>
    <w:rsid w:val="00FF04DF"/>
    <w:rsid w:val="39EF3F0E"/>
    <w:rsid w:val="3FF65783"/>
    <w:rsid w:val="4D77E7DC"/>
    <w:rsid w:val="69DE5015"/>
    <w:rsid w:val="6EFC4FEB"/>
    <w:rsid w:val="72E3F373"/>
    <w:rsid w:val="75BF9EBC"/>
    <w:rsid w:val="78EF3B62"/>
    <w:rsid w:val="79DBA518"/>
    <w:rsid w:val="7BF95D10"/>
    <w:rsid w:val="7C612005"/>
    <w:rsid w:val="7DFB0066"/>
    <w:rsid w:val="7F7DF8B2"/>
    <w:rsid w:val="7FDF0803"/>
    <w:rsid w:val="7FDF4B02"/>
    <w:rsid w:val="7FEA6A9B"/>
    <w:rsid w:val="BEEFD998"/>
    <w:rsid w:val="BFBF95A2"/>
    <w:rsid w:val="BFDB315F"/>
    <w:rsid w:val="CBBBE2DA"/>
    <w:rsid w:val="EFE5827E"/>
    <w:rsid w:val="F2EFC566"/>
    <w:rsid w:val="F9DFA17B"/>
    <w:rsid w:val="FBBF2C4E"/>
    <w:rsid w:val="FE82B139"/>
    <w:rsid w:val="FF3FBB47"/>
    <w:rsid w:val="FF7F0ADD"/>
    <w:rsid w:val="FFF734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nhideWhenUsed/>
    <w:qFormat/>
    <w:uiPriority w:val="0"/>
    <w:pPr>
      <w:spacing w:after="120"/>
    </w:pPr>
    <w:rPr>
      <w:rFonts w:asciiTheme="minorHAnsi" w:hAnsiTheme="minorHAnsi" w:eastAsiaTheme="minorEastAsia" w:cstheme="minorBidi"/>
      <w:sz w:val="21"/>
    </w:rPr>
  </w:style>
  <w:style w:type="paragraph" w:styleId="3">
    <w:name w:val="Balloon Text"/>
    <w:basedOn w:val="1"/>
    <w:link w:val="10"/>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rFonts w:ascii="Times New Roman" w:hAnsi="Times New Roman" w:eastAsia="仿宋_GB2312" w:cs="Times New Roman"/>
      <w:sz w:val="18"/>
      <w:szCs w:val="18"/>
    </w:rPr>
  </w:style>
  <w:style w:type="character" w:customStyle="1" w:styleId="9">
    <w:name w:val="页脚 Char"/>
    <w:basedOn w:val="7"/>
    <w:link w:val="4"/>
    <w:qFormat/>
    <w:uiPriority w:val="99"/>
    <w:rPr>
      <w:rFonts w:ascii="Times New Roman" w:hAnsi="Times New Roman" w:eastAsia="仿宋_GB2312" w:cs="Times New Roman"/>
      <w:sz w:val="18"/>
      <w:szCs w:val="18"/>
    </w:rPr>
  </w:style>
  <w:style w:type="character" w:customStyle="1" w:styleId="10">
    <w:name w:val="批注框文本 Char"/>
    <w:basedOn w:val="7"/>
    <w:link w:val="3"/>
    <w:semiHidden/>
    <w:qFormat/>
    <w:uiPriority w:val="99"/>
    <w:rPr>
      <w:rFonts w:ascii="Times New Roman" w:hAnsi="Times New Roman" w:eastAsia="仿宋_GB2312" w:cs="Times New Roman"/>
      <w:sz w:val="18"/>
      <w:szCs w:val="18"/>
    </w:rPr>
  </w:style>
  <w:style w:type="character" w:customStyle="1" w:styleId="11">
    <w:name w:val="正文文本 Char"/>
    <w:basedOn w:val="7"/>
    <w:link w:val="2"/>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8</Pages>
  <Words>437</Words>
  <Characters>2496</Characters>
  <Lines>20</Lines>
  <Paragraphs>5</Paragraphs>
  <TotalTime>152</TotalTime>
  <ScaleCrop>false</ScaleCrop>
  <LinksUpToDate>false</LinksUpToDate>
  <CharactersWithSpaces>2928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2023-08-24T07:11:00Z</dcterms:created>
  <dc:creator>李刚</dc:creator>
  <cp:lastModifiedBy>test</cp:lastModifiedBy>
  <cp:lastPrinted>2024-01-25T14:50:00Z</cp:lastPrinted>
  <dcterms:modified xsi:type="dcterms:W3CDTF">2024-01-25T15:22:55Z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