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pacing w:val="-20"/>
          <w:w w:val="95"/>
          <w:sz w:val="44"/>
          <w:szCs w:val="44"/>
        </w:rPr>
      </w:pPr>
      <w:r>
        <w:rPr>
          <w:rFonts w:hint="eastAsia" w:ascii="方正小标宋简体" w:hAnsi="方正小标宋简体" w:eastAsia="方正小标宋简体" w:cs="方正小标宋简体"/>
          <w:color w:val="auto"/>
          <w:spacing w:val="-20"/>
          <w:w w:val="95"/>
          <w:sz w:val="44"/>
          <w:szCs w:val="44"/>
        </w:rPr>
        <w:t>《</w:t>
      </w:r>
      <w:r>
        <w:rPr>
          <w:rFonts w:hint="eastAsia" w:ascii="方正小标宋简体" w:hAnsi="方正小标宋简体" w:eastAsia="方正小标宋简体" w:cs="方正小标宋简体"/>
          <w:color w:val="auto"/>
          <w:spacing w:val="-20"/>
          <w:w w:val="95"/>
          <w:sz w:val="44"/>
          <w:szCs w:val="44"/>
          <w:lang w:val="en-US" w:eastAsia="zh-CN"/>
        </w:rPr>
        <w:t>南昌</w:t>
      </w:r>
      <w:r>
        <w:rPr>
          <w:rFonts w:hint="eastAsia" w:ascii="方正小标宋简体" w:hAnsi="方正小标宋简体" w:eastAsia="方正小标宋简体" w:cs="方正小标宋简体"/>
          <w:color w:val="auto"/>
          <w:spacing w:val="-20"/>
          <w:w w:val="95"/>
          <w:sz w:val="44"/>
          <w:szCs w:val="44"/>
        </w:rPr>
        <w:t>市补充工伤保险</w:t>
      </w:r>
      <w:r>
        <w:rPr>
          <w:rFonts w:hint="eastAsia" w:ascii="方正小标宋简体" w:hAnsi="方正小标宋简体" w:eastAsia="方正小标宋简体" w:cs="方正小标宋简体"/>
          <w:color w:val="auto"/>
          <w:spacing w:val="-20"/>
          <w:w w:val="95"/>
          <w:sz w:val="44"/>
          <w:szCs w:val="44"/>
          <w:lang w:eastAsia="zh-CN"/>
        </w:rPr>
        <w:t>办法实施细则（征求意见稿）</w:t>
      </w:r>
      <w:r>
        <w:rPr>
          <w:rFonts w:hint="eastAsia" w:ascii="方正小标宋简体" w:hAnsi="方正小标宋简体" w:eastAsia="方正小标宋简体" w:cs="方正小标宋简体"/>
          <w:color w:val="auto"/>
          <w:spacing w:val="-20"/>
          <w:w w:val="95"/>
          <w:sz w:val="44"/>
          <w:szCs w:val="44"/>
        </w:rPr>
        <w:t>》</w:t>
      </w:r>
    </w:p>
    <w:p>
      <w:pPr>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pacing w:val="-20"/>
          <w:sz w:val="44"/>
          <w:szCs w:val="44"/>
          <w:lang w:val="en-US" w:eastAsia="zh-CN"/>
        </w:rPr>
      </w:pPr>
      <w:r>
        <w:rPr>
          <w:rFonts w:hint="eastAsia" w:ascii="方正小标宋简体" w:hAnsi="方正小标宋简体" w:eastAsia="方正小标宋简体" w:cs="方正小标宋简体"/>
          <w:color w:val="auto"/>
          <w:spacing w:val="-20"/>
          <w:w w:val="95"/>
          <w:sz w:val="44"/>
          <w:szCs w:val="44"/>
          <w:lang w:eastAsia="zh-CN"/>
        </w:rPr>
        <w:t>政策解读</w:t>
      </w:r>
    </w:p>
    <w:p>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lang w:val="en-US" w:eastAsia="zh-CN"/>
        </w:rPr>
      </w:pPr>
    </w:p>
    <w:p>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0" w:firstLineChars="200"/>
        <w:jc w:val="both"/>
        <w:textAlignment w:val="auto"/>
        <w:rPr>
          <w:rFonts w:hint="eastAsia" w:ascii="CESI黑体-GB2312" w:hAnsi="CESI黑体-GB2312" w:eastAsia="CESI黑体-GB2312" w:cs="CESI黑体-GB2312"/>
          <w:color w:val="auto"/>
          <w:sz w:val="32"/>
          <w:szCs w:val="32"/>
          <w:lang w:eastAsia="zh-CN"/>
        </w:rPr>
      </w:pPr>
      <w:r>
        <w:rPr>
          <w:rFonts w:hint="eastAsia" w:ascii="CESI黑体-GB2312" w:hAnsi="CESI黑体-GB2312" w:eastAsia="CESI黑体-GB2312" w:cs="CESI黑体-GB2312"/>
          <w:color w:val="auto"/>
          <w:sz w:val="32"/>
          <w:szCs w:val="32"/>
          <w:lang w:eastAsia="zh-CN"/>
        </w:rPr>
        <w:t>一、起草背景</w:t>
      </w:r>
    </w:p>
    <w:p>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0" w:firstLineChars="200"/>
        <w:jc w:val="both"/>
        <w:textAlignment w:val="auto"/>
        <w:rPr>
          <w:rFonts w:eastAsia="仿宋_GB2312"/>
          <w:color w:val="auto"/>
          <w:sz w:val="32"/>
          <w:szCs w:val="32"/>
        </w:rPr>
      </w:pPr>
      <w:r>
        <w:rPr>
          <w:rFonts w:hint="eastAsia" w:eastAsia="仿宋_GB2312"/>
          <w:color w:val="auto"/>
          <w:sz w:val="32"/>
          <w:szCs w:val="32"/>
        </w:rPr>
        <w:t>为深入贯彻落实党的二十大精神，加快</w:t>
      </w:r>
      <w:r>
        <w:rPr>
          <w:rFonts w:hint="eastAsia" w:eastAsia="仿宋_GB2312"/>
          <w:color w:val="auto"/>
          <w:sz w:val="32"/>
          <w:szCs w:val="32"/>
          <w:lang w:eastAsia="zh-CN"/>
        </w:rPr>
        <w:t>建设</w:t>
      </w:r>
      <w:r>
        <w:rPr>
          <w:rFonts w:hint="eastAsia" w:eastAsia="仿宋_GB2312"/>
          <w:color w:val="auto"/>
          <w:sz w:val="32"/>
          <w:szCs w:val="32"/>
        </w:rPr>
        <w:t>我市多层次工伤保险制度体系，保障新就业形态从业人员</w:t>
      </w:r>
      <w:r>
        <w:rPr>
          <w:rFonts w:hint="eastAsia" w:eastAsia="仿宋_GB2312"/>
          <w:color w:val="auto"/>
          <w:sz w:val="32"/>
          <w:szCs w:val="32"/>
          <w:lang w:eastAsia="zh-CN"/>
        </w:rPr>
        <w:t>、灵活就业人员等群体的劳动保障</w:t>
      </w:r>
      <w:r>
        <w:rPr>
          <w:rFonts w:hint="eastAsia" w:eastAsia="仿宋_GB2312"/>
          <w:color w:val="auto"/>
          <w:sz w:val="32"/>
          <w:szCs w:val="32"/>
        </w:rPr>
        <w:t>权益</w:t>
      </w:r>
      <w:r>
        <w:rPr>
          <w:rFonts w:hint="eastAsia" w:eastAsia="仿宋_GB2312"/>
          <w:color w:val="auto"/>
          <w:sz w:val="32"/>
          <w:szCs w:val="32"/>
          <w:lang w:eastAsia="zh-CN"/>
        </w:rPr>
        <w:t>，根据</w:t>
      </w:r>
      <w:r>
        <w:rPr>
          <w:rFonts w:hint="eastAsia" w:ascii="仿宋_GB2312" w:hAnsi="仿宋_GB2312" w:eastAsia="仿宋_GB2312" w:cs="仿宋_GB2312"/>
          <w:color w:val="auto"/>
          <w:sz w:val="32"/>
          <w:lang w:val="en-US" w:eastAsia="zh-CN"/>
        </w:rPr>
        <w:t>《江西省</w:t>
      </w:r>
      <w:r>
        <w:rPr>
          <w:rFonts w:hint="default" w:ascii="仿宋_GB2312" w:hAnsi="仿宋_GB2312" w:eastAsia="仿宋_GB2312" w:cs="仿宋_GB2312"/>
          <w:color w:val="auto"/>
          <w:sz w:val="32"/>
          <w:lang w:val="en-US" w:eastAsia="zh-CN"/>
        </w:rPr>
        <w:t>实施&lt;工伤保险条例&gt;办法</w:t>
      </w:r>
      <w:r>
        <w:rPr>
          <w:rFonts w:hint="eastAsia" w:eastAsia="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省政府</w:t>
      </w:r>
      <w:r>
        <w:rPr>
          <w:rFonts w:hint="eastAsia" w:ascii="仿宋_GB2312" w:hAnsi="仿宋_GB2312" w:eastAsia="仿宋_GB2312" w:cs="仿宋_GB2312"/>
          <w:color w:val="auto"/>
          <w:sz w:val="32"/>
          <w:szCs w:val="32"/>
          <w:lang w:val="en-US" w:eastAsia="zh-CN"/>
        </w:rPr>
        <w:t>204</w:t>
      </w:r>
      <w:r>
        <w:rPr>
          <w:rFonts w:hint="default" w:ascii="仿宋_GB2312" w:hAnsi="仿宋_GB2312" w:eastAsia="仿宋_GB2312" w:cs="仿宋_GB2312"/>
          <w:color w:val="auto"/>
          <w:sz w:val="32"/>
          <w:szCs w:val="32"/>
          <w:lang w:val="en-US" w:eastAsia="zh-CN"/>
        </w:rPr>
        <w:t>号令</w:t>
      </w:r>
      <w:r>
        <w:rPr>
          <w:rFonts w:hint="eastAsia" w:ascii="仿宋_GB2312" w:hAnsi="仿宋_GB2312" w:eastAsia="仿宋_GB2312" w:cs="仿宋_GB2312"/>
          <w:color w:val="auto"/>
          <w:sz w:val="32"/>
          <w:szCs w:val="32"/>
          <w:lang w:val="en-US" w:eastAsia="zh-CN"/>
        </w:rPr>
        <w:t>）、</w:t>
      </w:r>
      <w:r>
        <w:rPr>
          <w:rFonts w:hint="eastAsia" w:eastAsia="仿宋_GB2312"/>
          <w:color w:val="auto"/>
          <w:sz w:val="32"/>
          <w:szCs w:val="32"/>
        </w:rPr>
        <w:t>《</w:t>
      </w:r>
      <w:r>
        <w:rPr>
          <w:rFonts w:hint="eastAsia" w:eastAsia="仿宋_GB2312"/>
          <w:color w:val="auto"/>
          <w:sz w:val="32"/>
          <w:szCs w:val="32"/>
          <w:lang w:val="en-US" w:eastAsia="zh-CN"/>
        </w:rPr>
        <w:t>南昌</w:t>
      </w:r>
      <w:r>
        <w:rPr>
          <w:rFonts w:hint="eastAsia" w:eastAsia="仿宋_GB2312"/>
          <w:color w:val="auto"/>
          <w:sz w:val="32"/>
          <w:szCs w:val="32"/>
          <w:lang w:eastAsia="zh-CN"/>
        </w:rPr>
        <w:t>市</w:t>
      </w:r>
      <w:r>
        <w:rPr>
          <w:rFonts w:hint="eastAsia" w:eastAsia="仿宋_GB2312"/>
          <w:color w:val="auto"/>
          <w:sz w:val="32"/>
          <w:szCs w:val="32"/>
        </w:rPr>
        <w:t>补充工伤保险办法》（</w:t>
      </w:r>
      <w:r>
        <w:rPr>
          <w:rFonts w:hint="eastAsia" w:eastAsia="仿宋_GB2312"/>
          <w:color w:val="auto"/>
          <w:sz w:val="32"/>
          <w:szCs w:val="32"/>
          <w:lang w:val="en-US" w:eastAsia="zh-CN"/>
        </w:rPr>
        <w:t>洪</w:t>
      </w:r>
      <w:r>
        <w:rPr>
          <w:rFonts w:hint="eastAsia" w:eastAsia="仿宋_GB2312"/>
          <w:color w:val="auto"/>
          <w:sz w:val="32"/>
          <w:szCs w:val="32"/>
          <w:lang w:eastAsia="zh-CN"/>
        </w:rPr>
        <w:t>府规发</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202</w:t>
      </w:r>
      <w:r>
        <w:rPr>
          <w:rFonts w:hint="eastAsia" w:ascii="CESI仿宋-GB2312" w:hAnsi="CESI仿宋-GB2312" w:cs="CESI仿宋-GB2312"/>
          <w:color w:val="auto"/>
          <w:sz w:val="32"/>
          <w:szCs w:val="32"/>
          <w:lang w:val="en-US" w:eastAsia="zh-CN"/>
        </w:rPr>
        <w:t>6</w:t>
      </w:r>
      <w:r>
        <w:rPr>
          <w:rFonts w:hint="eastAsia" w:ascii="CESI仿宋-GB2312" w:hAnsi="CESI仿宋-GB2312" w:eastAsia="CESI仿宋-GB2312" w:cs="CESI仿宋-GB2312"/>
          <w:color w:val="auto"/>
          <w:sz w:val="32"/>
          <w:szCs w:val="32"/>
          <w:lang w:eastAsia="zh-CN"/>
        </w:rPr>
        <w:t>〕</w:t>
      </w:r>
      <w:r>
        <w:rPr>
          <w:rFonts w:hint="eastAsia" w:ascii="CESI仿宋-GB2312" w:hAnsi="CESI仿宋-GB2312" w:cs="CESI仿宋-GB2312"/>
          <w:color w:val="auto"/>
          <w:sz w:val="32"/>
          <w:szCs w:val="32"/>
          <w:lang w:val="en-US" w:eastAsia="zh-CN"/>
        </w:rPr>
        <w:t>2</w:t>
      </w:r>
      <w:r>
        <w:rPr>
          <w:rFonts w:hint="eastAsia" w:ascii="CESI仿宋-GB2312" w:hAnsi="CESI仿宋-GB2312" w:eastAsia="CESI仿宋-GB2312" w:cs="CESI仿宋-GB2312"/>
          <w:color w:val="auto"/>
          <w:sz w:val="32"/>
          <w:szCs w:val="32"/>
          <w:lang w:val="en-US" w:eastAsia="zh-CN"/>
        </w:rPr>
        <w:t>号</w:t>
      </w:r>
      <w:r>
        <w:rPr>
          <w:rFonts w:hint="eastAsia" w:eastAsia="仿宋_GB2312"/>
          <w:color w:val="auto"/>
          <w:sz w:val="32"/>
          <w:szCs w:val="32"/>
        </w:rPr>
        <w:t>）</w:t>
      </w:r>
      <w:r>
        <w:rPr>
          <w:rFonts w:hint="eastAsia" w:eastAsia="仿宋_GB2312"/>
          <w:color w:val="auto"/>
          <w:sz w:val="32"/>
          <w:szCs w:val="32"/>
          <w:lang w:val="en-US" w:eastAsia="zh-CN"/>
        </w:rPr>
        <w:t>及</w:t>
      </w:r>
      <w:r>
        <w:rPr>
          <w:rFonts w:hint="eastAsia" w:ascii="仿宋_GB2312" w:hAnsi="仿宋_GB2312" w:eastAsia="仿宋_GB2312" w:cs="仿宋_GB2312"/>
          <w:color w:val="auto"/>
          <w:sz w:val="32"/>
          <w:szCs w:val="32"/>
          <w:lang w:val="en-US" w:eastAsia="zh-CN"/>
        </w:rPr>
        <w:t>省、</w:t>
      </w:r>
      <w:r>
        <w:rPr>
          <w:rFonts w:hint="default" w:eastAsia="仿宋_GB2312"/>
          <w:color w:val="auto"/>
          <w:sz w:val="32"/>
          <w:szCs w:val="32"/>
          <w:lang w:val="en-US" w:eastAsia="zh-CN"/>
        </w:rPr>
        <w:t>市</w:t>
      </w:r>
      <w:r>
        <w:rPr>
          <w:rFonts w:hint="eastAsia" w:eastAsia="仿宋_GB2312"/>
          <w:color w:val="auto"/>
          <w:sz w:val="32"/>
          <w:szCs w:val="32"/>
          <w:lang w:val="en-US" w:eastAsia="zh-CN"/>
        </w:rPr>
        <w:t>补充工伤保险工作部署要求</w:t>
      </w:r>
      <w:r>
        <w:rPr>
          <w:rFonts w:hint="eastAsia" w:eastAsia="仿宋_GB2312"/>
          <w:color w:val="auto"/>
          <w:sz w:val="32"/>
          <w:szCs w:val="32"/>
          <w:lang w:eastAsia="zh-CN"/>
        </w:rPr>
        <w:t>，</w:t>
      </w:r>
      <w:r>
        <w:rPr>
          <w:rFonts w:hint="eastAsia" w:eastAsia="仿宋_GB2312"/>
          <w:color w:val="auto"/>
          <w:sz w:val="32"/>
          <w:szCs w:val="32"/>
          <w:lang w:val="en-US" w:eastAsia="zh-CN"/>
        </w:rPr>
        <w:t>我局</w:t>
      </w:r>
      <w:r>
        <w:rPr>
          <w:rFonts w:hint="eastAsia" w:eastAsia="仿宋_GB2312"/>
          <w:color w:val="auto"/>
          <w:sz w:val="32"/>
          <w:szCs w:val="32"/>
          <w:lang w:eastAsia="zh-CN"/>
        </w:rPr>
        <w:t>起草了《</w:t>
      </w:r>
      <w:r>
        <w:rPr>
          <w:rFonts w:hint="eastAsia" w:eastAsia="仿宋_GB2312"/>
          <w:color w:val="auto"/>
          <w:sz w:val="32"/>
          <w:szCs w:val="32"/>
          <w:lang w:val="en-US" w:eastAsia="zh-CN"/>
        </w:rPr>
        <w:t>南昌市</w:t>
      </w:r>
      <w:r>
        <w:rPr>
          <w:rFonts w:hint="eastAsia" w:eastAsia="仿宋_GB2312"/>
          <w:color w:val="auto"/>
          <w:sz w:val="32"/>
          <w:szCs w:val="32"/>
          <w:lang w:eastAsia="zh-CN"/>
        </w:rPr>
        <w:t>补充工伤保险办法实施细则（征求意见稿</w:t>
      </w:r>
      <w:bookmarkStart w:id="0" w:name="_GoBack"/>
      <w:bookmarkEnd w:id="0"/>
      <w:r>
        <w:rPr>
          <w:rFonts w:hint="eastAsia" w:eastAsia="仿宋_GB2312"/>
          <w:color w:val="auto"/>
          <w:sz w:val="32"/>
          <w:szCs w:val="32"/>
          <w:lang w:eastAsia="zh-CN"/>
        </w:rPr>
        <w:t>）》（以下简称《实施细则》），细化了</w:t>
      </w:r>
      <w:r>
        <w:rPr>
          <w:rFonts w:hint="eastAsia" w:eastAsia="仿宋_GB2312"/>
          <w:color w:val="auto"/>
          <w:sz w:val="32"/>
          <w:szCs w:val="32"/>
          <w:lang w:val="en-US" w:eastAsia="zh-CN"/>
        </w:rPr>
        <w:t>补充工伤保险</w:t>
      </w:r>
      <w:r>
        <w:rPr>
          <w:rFonts w:hint="eastAsia" w:eastAsia="仿宋_GB2312"/>
          <w:color w:val="auto"/>
          <w:sz w:val="32"/>
          <w:szCs w:val="32"/>
          <w:lang w:eastAsia="zh-CN"/>
        </w:rPr>
        <w:t>经办的</w:t>
      </w:r>
      <w:r>
        <w:rPr>
          <w:rFonts w:hint="eastAsia" w:ascii="仿宋_GB2312" w:eastAsia="仿宋_GB2312"/>
          <w:color w:val="auto"/>
          <w:sz w:val="32"/>
          <w:szCs w:val="32"/>
          <w:highlight w:val="none"/>
          <w:lang w:eastAsia="zh-CN"/>
        </w:rPr>
        <w:t>具体要求</w:t>
      </w:r>
      <w:r>
        <w:rPr>
          <w:rFonts w:hint="eastAsia" w:eastAsia="仿宋_GB2312"/>
          <w:color w:val="auto"/>
          <w:sz w:val="32"/>
          <w:szCs w:val="32"/>
          <w:lang w:eastAsia="zh-CN"/>
        </w:rPr>
        <w:t>，明确了补充工伤保险业务办理的具体流程</w:t>
      </w:r>
      <w:r>
        <w:rPr>
          <w:rFonts w:eastAsia="仿宋_GB2312"/>
          <w:color w:val="auto"/>
          <w:sz w:val="32"/>
          <w:szCs w:val="32"/>
        </w:rPr>
        <w:t>。</w:t>
      </w:r>
    </w:p>
    <w:p>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0" w:firstLineChars="200"/>
        <w:jc w:val="both"/>
        <w:textAlignment w:val="auto"/>
        <w:rPr>
          <w:rFonts w:eastAsia="黑体"/>
          <w:color w:val="auto"/>
          <w:sz w:val="32"/>
          <w:szCs w:val="32"/>
        </w:rPr>
      </w:pPr>
      <w:r>
        <w:rPr>
          <w:rFonts w:hint="eastAsia" w:eastAsia="黑体"/>
          <w:color w:val="auto"/>
          <w:sz w:val="32"/>
          <w:szCs w:val="32"/>
          <w:lang w:val="en-US" w:eastAsia="zh-CN"/>
        </w:rPr>
        <w:t>二</w:t>
      </w:r>
      <w:r>
        <w:rPr>
          <w:rFonts w:eastAsia="黑体"/>
          <w:color w:val="auto"/>
          <w:sz w:val="32"/>
          <w:szCs w:val="32"/>
        </w:rPr>
        <w:t>、主要内容</w:t>
      </w:r>
    </w:p>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实施细则</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分为</w:t>
      </w:r>
      <w:r>
        <w:rPr>
          <w:rFonts w:hint="eastAsia" w:ascii="仿宋_GB2312" w:hAnsi="仿宋_GB2312" w:eastAsia="仿宋_GB2312" w:cs="仿宋_GB2312"/>
          <w:color w:val="auto"/>
          <w:sz w:val="32"/>
          <w:szCs w:val="32"/>
          <w:lang w:eastAsia="zh-CN"/>
        </w:rPr>
        <w:t>总则、参保登记和缴费</w:t>
      </w:r>
      <w:r>
        <w:rPr>
          <w:rFonts w:hint="eastAsia" w:ascii="仿宋_GB2312" w:hAnsi="仿宋_GB2312" w:eastAsia="仿宋_GB2312" w:cs="仿宋_GB2312"/>
          <w:color w:val="auto"/>
          <w:sz w:val="32"/>
          <w:szCs w:val="32"/>
        </w:rPr>
        <w:t>、工伤认定（职业伤害确认）与劳动能力鉴定、</w:t>
      </w:r>
      <w:r>
        <w:rPr>
          <w:rFonts w:hint="eastAsia" w:ascii="仿宋_GB2312" w:hAnsi="仿宋_GB2312" w:eastAsia="仿宋_GB2312" w:cs="仿宋_GB2312"/>
          <w:color w:val="auto"/>
          <w:sz w:val="32"/>
          <w:szCs w:val="32"/>
          <w:lang w:val="en-US" w:eastAsia="zh-CN"/>
        </w:rPr>
        <w:t>待遇</w:t>
      </w:r>
      <w:r>
        <w:rPr>
          <w:rFonts w:hint="eastAsia" w:ascii="仿宋_GB2312" w:hAnsi="仿宋_GB2312" w:eastAsia="仿宋_GB2312" w:cs="仿宋_GB2312"/>
          <w:color w:val="auto"/>
          <w:sz w:val="32"/>
          <w:szCs w:val="32"/>
          <w:lang w:eastAsia="zh-CN"/>
        </w:rPr>
        <w:t>资格确认、待遇项目、医疗待遇管理、伤残（亡）待遇管理</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职业伤害预防、资金财务管理、监督管理和附则</w:t>
      </w:r>
      <w:r>
        <w:rPr>
          <w:rFonts w:hint="eastAsia" w:ascii="仿宋_GB2312" w:hAnsi="仿宋_GB2312" w:eastAsia="仿宋_GB2312" w:cs="仿宋_GB2312"/>
          <w:color w:val="auto"/>
          <w:sz w:val="32"/>
          <w:szCs w:val="32"/>
        </w:rPr>
        <w:t>等</w:t>
      </w:r>
      <w:r>
        <w:rPr>
          <w:rFonts w:hint="eastAsia" w:ascii="仿宋_GB2312" w:hAnsi="仿宋_GB2312" w:eastAsia="仿宋_GB2312" w:cs="仿宋_GB2312"/>
          <w:color w:val="auto"/>
          <w:sz w:val="32"/>
          <w:szCs w:val="32"/>
          <w:lang w:val="en-US" w:eastAsia="zh-CN"/>
        </w:rPr>
        <w:t>十一</w:t>
      </w:r>
      <w:r>
        <w:rPr>
          <w:rFonts w:hint="eastAsia" w:ascii="仿宋_GB2312" w:hAnsi="仿宋_GB2312" w:eastAsia="仿宋_GB2312" w:cs="仿宋_GB2312"/>
          <w:color w:val="auto"/>
          <w:sz w:val="32"/>
          <w:szCs w:val="32"/>
        </w:rPr>
        <w:t>个部分</w:t>
      </w:r>
      <w:r>
        <w:rPr>
          <w:rFonts w:hint="eastAsia" w:ascii="仿宋_GB2312" w:hAnsi="仿宋_GB2312" w:eastAsia="仿宋_GB2312" w:cs="仿宋_GB2312"/>
          <w:color w:val="auto"/>
          <w:sz w:val="32"/>
          <w:szCs w:val="32"/>
          <w:lang w:eastAsia="zh-CN"/>
        </w:rPr>
        <w:t>，共</w:t>
      </w:r>
      <w:r>
        <w:rPr>
          <w:rFonts w:hint="eastAsia" w:ascii="仿宋_GB2312" w:hAnsi="仿宋_GB2312" w:eastAsia="仿宋_GB2312" w:cs="仿宋_GB2312"/>
          <w:color w:val="auto"/>
          <w:sz w:val="32"/>
          <w:szCs w:val="32"/>
          <w:lang w:val="en-US" w:eastAsia="zh-CN"/>
        </w:rPr>
        <w:t>60条</w:t>
      </w:r>
      <w:r>
        <w:rPr>
          <w:rFonts w:hint="eastAsia" w:ascii="仿宋_GB2312" w:hAnsi="仿宋_GB2312" w:eastAsia="仿宋_GB2312" w:cs="仿宋_GB2312"/>
          <w:color w:val="auto"/>
          <w:sz w:val="32"/>
          <w:szCs w:val="32"/>
        </w:rPr>
        <w:t>。</w:t>
      </w:r>
    </w:p>
    <w:p>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2" w:firstLineChars="200"/>
        <w:jc w:val="both"/>
        <w:textAlignment w:val="auto"/>
        <w:rPr>
          <w:rFonts w:hint="eastAsia" w:eastAsia="仿宋_GB2312"/>
          <w:color w:val="auto"/>
          <w:sz w:val="32"/>
          <w:szCs w:val="32"/>
        </w:rPr>
      </w:pPr>
      <w:r>
        <w:rPr>
          <w:rFonts w:hint="eastAsia" w:ascii="楷体" w:hAnsi="楷体" w:eastAsia="楷体" w:cs="楷体"/>
          <w:b/>
          <w:bCs/>
          <w:color w:val="auto"/>
          <w:sz w:val="32"/>
          <w:szCs w:val="32"/>
          <w:lang w:val="en-US" w:eastAsia="zh-CN"/>
        </w:rPr>
        <w:t>第一章</w:t>
      </w:r>
      <w:r>
        <w:rPr>
          <w:rFonts w:hint="eastAsia" w:ascii="楷体" w:hAnsi="楷体" w:eastAsia="楷体" w:cs="楷体"/>
          <w:b/>
          <w:bCs/>
          <w:color w:val="auto"/>
          <w:sz w:val="32"/>
          <w:szCs w:val="32"/>
          <w:lang w:eastAsia="zh-CN"/>
        </w:rPr>
        <w:t>总则</w:t>
      </w:r>
      <w:r>
        <w:rPr>
          <w:rFonts w:hint="eastAsia" w:ascii="楷体" w:hAnsi="楷体" w:eastAsia="楷体" w:cs="楷体"/>
          <w:b/>
          <w:bCs/>
          <w:color w:val="auto"/>
          <w:sz w:val="32"/>
          <w:szCs w:val="32"/>
          <w:lang w:val="en-US" w:eastAsia="zh-CN"/>
        </w:rPr>
        <w:t>。</w:t>
      </w:r>
      <w:r>
        <w:rPr>
          <w:rFonts w:hint="eastAsia" w:ascii="仿宋_GB2312" w:hAnsi="仿宋_GB2312" w:eastAsia="仿宋_GB2312" w:cs="仿宋_GB2312"/>
          <w:b w:val="0"/>
          <w:bCs w:val="0"/>
          <w:color w:val="auto"/>
          <w:sz w:val="32"/>
          <w:szCs w:val="32"/>
          <w:lang w:eastAsia="zh-CN"/>
        </w:rPr>
        <w:t>按照补充工伤保险实施办法的要求，</w:t>
      </w:r>
      <w:r>
        <w:rPr>
          <w:rFonts w:hint="eastAsia" w:ascii="楷体" w:hAnsi="楷体" w:eastAsia="楷体" w:cs="楷体"/>
          <w:b w:val="0"/>
          <w:bCs w:val="0"/>
          <w:color w:val="auto"/>
          <w:sz w:val="32"/>
          <w:szCs w:val="32"/>
          <w:lang w:eastAsia="zh-CN"/>
        </w:rPr>
        <w:t>对</w:t>
      </w:r>
      <w:r>
        <w:rPr>
          <w:rFonts w:hint="eastAsia" w:eastAsia="仿宋_GB2312"/>
          <w:color w:val="auto"/>
          <w:sz w:val="32"/>
          <w:szCs w:val="32"/>
          <w:lang w:eastAsia="zh-CN"/>
        </w:rPr>
        <w:t>补充工伤保险的承办方式、承办机构的责任，</w:t>
      </w:r>
      <w:r>
        <w:rPr>
          <w:rFonts w:hint="eastAsia" w:ascii="仿宋_GB2312" w:hAnsi="仿宋_GB2312" w:eastAsia="仿宋_GB2312" w:cs="仿宋_GB2312"/>
          <w:color w:val="auto"/>
          <w:sz w:val="32"/>
          <w:lang w:eastAsia="zh-CN"/>
        </w:rPr>
        <w:t>具体的经办进行了明确</w:t>
      </w:r>
      <w:r>
        <w:rPr>
          <w:rFonts w:eastAsia="仿宋_GB2312"/>
          <w:color w:val="auto"/>
          <w:sz w:val="32"/>
          <w:szCs w:val="32"/>
        </w:rPr>
        <w:t>。</w:t>
      </w:r>
    </w:p>
    <w:p>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2"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s="楷体"/>
          <w:b/>
          <w:bCs/>
          <w:color w:val="auto"/>
          <w:sz w:val="32"/>
          <w:szCs w:val="32"/>
          <w:lang w:val="en-US" w:eastAsia="zh-CN"/>
        </w:rPr>
        <w:t>第二章</w:t>
      </w:r>
      <w:r>
        <w:rPr>
          <w:rFonts w:hint="eastAsia" w:ascii="楷体" w:hAnsi="楷体" w:eastAsia="楷体" w:cs="楷体"/>
          <w:b/>
          <w:bCs/>
          <w:color w:val="auto"/>
          <w:sz w:val="32"/>
          <w:szCs w:val="32"/>
          <w:lang w:eastAsia="zh-CN"/>
        </w:rPr>
        <w:t>参保登记和缴费。</w:t>
      </w:r>
      <w:r>
        <w:rPr>
          <w:rFonts w:hint="eastAsia" w:ascii="仿宋_GB2312" w:hAnsi="仿宋_GB2312" w:eastAsia="仿宋_GB2312" w:cs="仿宋_GB2312"/>
          <w:color w:val="auto"/>
          <w:sz w:val="32"/>
          <w:szCs w:val="32"/>
          <w:lang w:eastAsia="zh-CN"/>
        </w:rPr>
        <w:t>明确了参保人员共分</w:t>
      </w:r>
      <w:r>
        <w:rPr>
          <w:rFonts w:hint="eastAsia" w:ascii="仿宋_GB2312" w:hAnsi="仿宋_GB2312" w:eastAsia="仿宋_GB2312" w:cs="仿宋_GB2312"/>
          <w:color w:val="auto"/>
          <w:sz w:val="32"/>
          <w:szCs w:val="32"/>
          <w:lang w:val="en-US" w:eastAsia="zh-CN"/>
        </w:rPr>
        <w:t>两</w:t>
      </w:r>
      <w:r>
        <w:rPr>
          <w:rFonts w:hint="eastAsia" w:ascii="仿宋_GB2312" w:hAnsi="仿宋_GB2312" w:eastAsia="仿宋_GB2312" w:cs="仿宋_GB2312"/>
          <w:color w:val="auto"/>
          <w:sz w:val="32"/>
          <w:szCs w:val="32"/>
          <w:lang w:eastAsia="zh-CN"/>
        </w:rPr>
        <w:t>类，包括已经参加工伤保险的用人单位的所有参保人员和未纳入《工伤保险条例》实施范围的</w:t>
      </w:r>
      <w:r>
        <w:rPr>
          <w:rFonts w:hint="eastAsia" w:ascii="仿宋_GB2312" w:hAnsi="仿宋_GB2312" w:eastAsia="仿宋_GB2312" w:cs="仿宋_GB2312"/>
          <w:color w:val="auto"/>
          <w:sz w:val="32"/>
          <w:szCs w:val="32"/>
          <w:lang w:val="en-US" w:eastAsia="zh-CN"/>
        </w:rPr>
        <w:t>9类特定人员</w:t>
      </w:r>
      <w:r>
        <w:rPr>
          <w:rFonts w:hint="eastAsia" w:ascii="仿宋_GB2312" w:hAnsi="仿宋_GB2312" w:eastAsia="仿宋_GB2312" w:cs="仿宋_GB2312"/>
          <w:color w:val="auto"/>
          <w:sz w:val="32"/>
          <w:szCs w:val="32"/>
          <w:lang w:eastAsia="zh-CN"/>
        </w:rPr>
        <w:t>。明确了缴费基数和费率</w:t>
      </w:r>
      <w:r>
        <w:rPr>
          <w:rFonts w:hint="eastAsia" w:ascii="仿宋_GB2312" w:hAnsi="仿宋_GB2312" w:eastAsia="仿宋_GB2312" w:cs="仿宋_GB2312"/>
          <w:color w:val="auto"/>
          <w:sz w:val="32"/>
          <w:szCs w:val="32"/>
        </w:rPr>
        <w:t>。</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Autospacing="0" w:line="600" w:lineRule="exact"/>
        <w:ind w:firstLine="642" w:firstLineChars="200"/>
        <w:jc w:val="both"/>
        <w:textAlignment w:val="auto"/>
        <w:rPr>
          <w:rFonts w:hint="eastAsia" w:ascii="仿宋_GB2312" w:hAnsi="仿宋_GB2312" w:eastAsia="仿宋_GB2312" w:cs="仿宋_GB2312"/>
          <w:color w:val="auto"/>
        </w:rPr>
      </w:pPr>
      <w:r>
        <w:rPr>
          <w:rFonts w:hint="eastAsia" w:ascii="楷体" w:hAnsi="楷体" w:eastAsia="楷体" w:cs="楷体"/>
          <w:b/>
          <w:bCs/>
          <w:color w:val="auto"/>
          <w:sz w:val="32"/>
          <w:szCs w:val="32"/>
          <w:lang w:val="en-US" w:eastAsia="zh-CN"/>
        </w:rPr>
        <w:t>第三章</w:t>
      </w:r>
      <w:r>
        <w:rPr>
          <w:rFonts w:hint="eastAsia" w:ascii="楷体" w:hAnsi="楷体" w:eastAsia="楷体" w:cs="楷体"/>
          <w:b/>
          <w:bCs/>
          <w:color w:val="auto"/>
          <w:sz w:val="32"/>
          <w:szCs w:val="32"/>
          <w:lang w:eastAsia="zh-CN"/>
        </w:rPr>
        <w:t>工伤认定（职业伤害确认）与劳动能力鉴定</w:t>
      </w:r>
      <w:r>
        <w:rPr>
          <w:rFonts w:hint="eastAsia" w:ascii="CESI楷体-GB2312" w:hAnsi="CESI楷体-GB2312" w:eastAsia="CESI楷体-GB2312" w:cs="CESI楷体-GB2312"/>
          <w:b/>
          <w:bCs/>
          <w:color w:val="auto"/>
          <w:sz w:val="32"/>
          <w:szCs w:val="32"/>
        </w:rPr>
        <w:t>。</w:t>
      </w:r>
      <w:r>
        <w:rPr>
          <w:rFonts w:hint="eastAsia" w:ascii="仿宋_GB2312" w:hAnsi="仿宋_GB2312" w:eastAsia="仿宋_GB2312" w:cs="仿宋_GB2312"/>
          <w:color w:val="auto"/>
          <w:sz w:val="32"/>
          <w:lang w:val="en" w:eastAsia="zh-CN" w:bidi="ar"/>
        </w:rPr>
        <w:t>明确了</w:t>
      </w:r>
      <w:r>
        <w:rPr>
          <w:rFonts w:hint="eastAsia" w:ascii="仿宋_GB2312" w:hAnsi="仿宋_GB2312" w:eastAsia="仿宋_GB2312" w:cs="仿宋_GB2312"/>
          <w:color w:val="auto"/>
          <w:sz w:val="32"/>
          <w:lang w:val="en-US" w:eastAsia="zh-CN" w:bidi="ar"/>
        </w:rPr>
        <w:t>特定人员可以确认为职业伤害和不得确认为职业伤害的情形，明确了特定人员职业伤害确认、劳动能力鉴定方面的相关要求及时限</w:t>
      </w:r>
      <w:r>
        <w:rPr>
          <w:rFonts w:hint="eastAsia" w:ascii="仿宋_GB2312" w:hAnsi="仿宋_GB2312" w:eastAsia="仿宋_GB2312" w:cs="仿宋_GB2312"/>
          <w:color w:val="auto"/>
          <w:sz w:val="32"/>
          <w:lang w:val="en" w:eastAsia="zh-CN" w:bidi="ar"/>
        </w:rPr>
        <w:t>。</w:t>
      </w:r>
    </w:p>
    <w:p>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2" w:firstLineChars="200"/>
        <w:jc w:val="both"/>
        <w:textAlignment w:val="auto"/>
        <w:rPr>
          <w:rFonts w:hint="eastAsia" w:ascii="仿宋_GB2312" w:hAnsi="仿宋_GB2312" w:eastAsia="仿宋_GB2312" w:cs="仿宋_GB2312"/>
          <w:color w:val="auto"/>
          <w:sz w:val="32"/>
          <w:szCs w:val="32"/>
          <w:lang w:eastAsia="zh-CN"/>
        </w:rPr>
      </w:pPr>
      <w:r>
        <w:rPr>
          <w:rFonts w:hint="eastAsia" w:ascii="楷体" w:hAnsi="楷体" w:eastAsia="楷体" w:cs="楷体"/>
          <w:b/>
          <w:bCs/>
          <w:color w:val="auto"/>
          <w:sz w:val="32"/>
          <w:szCs w:val="32"/>
          <w:lang w:val="en-US" w:eastAsia="zh-CN"/>
        </w:rPr>
        <w:t>第四章待遇</w:t>
      </w:r>
      <w:r>
        <w:rPr>
          <w:rFonts w:hint="eastAsia" w:ascii="楷体" w:hAnsi="楷体" w:eastAsia="楷体" w:cs="楷体"/>
          <w:b/>
          <w:bCs/>
          <w:color w:val="auto"/>
          <w:sz w:val="32"/>
          <w:szCs w:val="32"/>
          <w:lang w:eastAsia="zh-CN"/>
        </w:rPr>
        <w:t>资格确认。</w:t>
      </w:r>
      <w:r>
        <w:rPr>
          <w:rFonts w:hint="eastAsia" w:ascii="仿宋_GB2312" w:hAnsi="仿宋_GB2312" w:eastAsia="仿宋_GB2312" w:cs="仿宋_GB2312"/>
          <w:color w:val="auto"/>
          <w:sz w:val="32"/>
          <w:szCs w:val="32"/>
          <w:lang w:eastAsia="zh-CN"/>
        </w:rPr>
        <w:t>明确了</w:t>
      </w:r>
      <w:r>
        <w:rPr>
          <w:rFonts w:hint="eastAsia" w:ascii="仿宋_GB2312" w:hAnsi="仿宋_GB2312" w:eastAsia="仿宋_GB2312" w:cs="仿宋_GB2312"/>
          <w:color w:val="auto"/>
          <w:sz w:val="32"/>
          <w:szCs w:val="32"/>
          <w:lang w:val="en-US" w:eastAsia="zh-CN"/>
        </w:rPr>
        <w:t>享受待遇的前提条件及不享受待遇的情形</w:t>
      </w:r>
      <w:r>
        <w:rPr>
          <w:rFonts w:hint="eastAsia" w:ascii="仿宋_GB2312" w:hAnsi="仿宋_GB2312" w:eastAsia="仿宋_GB2312" w:cs="仿宋_GB2312"/>
          <w:color w:val="auto"/>
          <w:sz w:val="32"/>
          <w:szCs w:val="32"/>
          <w:lang w:eastAsia="zh-CN"/>
        </w:rPr>
        <w:t>。</w:t>
      </w:r>
    </w:p>
    <w:p>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bCs/>
          <w:color w:val="auto"/>
          <w:sz w:val="32"/>
          <w:szCs w:val="32"/>
          <w:lang w:val="en-US" w:eastAsia="zh-CN"/>
        </w:rPr>
        <w:t>第五章待遇项目。</w:t>
      </w:r>
      <w:r>
        <w:rPr>
          <w:rFonts w:hint="eastAsia" w:ascii="仿宋_GB2312" w:hAnsi="仿宋_GB2312" w:eastAsia="仿宋_GB2312" w:cs="仿宋_GB2312"/>
          <w:color w:val="auto"/>
          <w:sz w:val="32"/>
          <w:szCs w:val="32"/>
          <w:lang w:val="en-US" w:eastAsia="zh-CN"/>
        </w:rPr>
        <w:t>明确了已纳入工伤保险的参保人员和特定人员的补充工伤保险待遇项目，并明确了超法定退休年龄人员、新就业形态从业人员和灵活就业人员不享受一次性职业补助金。</w:t>
      </w:r>
    </w:p>
    <w:p>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2" w:firstLineChars="200"/>
        <w:jc w:val="both"/>
        <w:textAlignment w:val="auto"/>
        <w:rPr>
          <w:rFonts w:hint="eastAsia" w:ascii="仿宋_GB2312" w:hAnsi="仿宋_GB2312" w:eastAsia="仿宋_GB2312" w:cs="仿宋_GB2312"/>
          <w:color w:val="auto"/>
          <w:sz w:val="32"/>
          <w:szCs w:val="32"/>
          <w:lang w:val="en" w:eastAsia="zh-CN"/>
        </w:rPr>
      </w:pPr>
      <w:r>
        <w:rPr>
          <w:rFonts w:hint="eastAsia" w:ascii="楷体" w:hAnsi="楷体" w:eastAsia="楷体" w:cs="楷体"/>
          <w:b/>
          <w:bCs/>
          <w:color w:val="auto"/>
          <w:sz w:val="32"/>
          <w:szCs w:val="32"/>
          <w:lang w:val="en-US" w:eastAsia="zh-CN"/>
        </w:rPr>
        <w:t>第六章</w:t>
      </w:r>
      <w:r>
        <w:rPr>
          <w:rFonts w:hint="eastAsia" w:ascii="楷体" w:hAnsi="楷体" w:eastAsia="楷体" w:cs="楷体"/>
          <w:b/>
          <w:bCs/>
          <w:color w:val="auto"/>
          <w:sz w:val="32"/>
          <w:szCs w:val="32"/>
          <w:lang w:val="en" w:eastAsia="zh-CN"/>
        </w:rPr>
        <w:t>医疗待遇管理。</w:t>
      </w:r>
      <w:r>
        <w:rPr>
          <w:rFonts w:hint="eastAsia" w:ascii="仿宋_GB2312" w:hAnsi="仿宋_GB2312" w:eastAsia="仿宋_GB2312" w:cs="仿宋_GB2312"/>
          <w:color w:val="auto"/>
          <w:sz w:val="32"/>
          <w:szCs w:val="32"/>
          <w:lang w:val="en" w:eastAsia="zh-CN"/>
        </w:rPr>
        <w:t>明确了医疗待遇管理的相关待遇、限额、时限等要求。</w:t>
      </w:r>
    </w:p>
    <w:p>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2" w:firstLineChars="200"/>
        <w:jc w:val="both"/>
        <w:textAlignment w:val="auto"/>
        <w:rPr>
          <w:rFonts w:hint="eastAsia" w:ascii="仿宋_GB2312" w:hAnsi="仿宋_GB2312" w:eastAsia="仿宋_GB2312" w:cs="仿宋_GB2312"/>
          <w:color w:val="auto"/>
          <w:sz w:val="32"/>
          <w:szCs w:val="32"/>
          <w:lang w:eastAsia="zh-CN"/>
        </w:rPr>
      </w:pPr>
      <w:r>
        <w:rPr>
          <w:rFonts w:hint="eastAsia" w:ascii="楷体" w:hAnsi="楷体" w:eastAsia="楷体" w:cs="楷体"/>
          <w:b/>
          <w:bCs/>
          <w:color w:val="auto"/>
          <w:sz w:val="32"/>
          <w:szCs w:val="32"/>
          <w:lang w:val="en-US" w:eastAsia="zh-CN"/>
        </w:rPr>
        <w:t>第七章伤残（亡）待遇管理</w:t>
      </w:r>
      <w:r>
        <w:rPr>
          <w:rFonts w:hint="eastAsia" w:ascii="楷体" w:hAnsi="楷体" w:eastAsia="楷体" w:cs="楷体"/>
          <w:b/>
          <w:bCs/>
          <w:color w:val="auto"/>
          <w:sz w:val="32"/>
          <w:szCs w:val="32"/>
        </w:rPr>
        <w:t>。</w:t>
      </w:r>
      <w:r>
        <w:rPr>
          <w:rFonts w:hint="eastAsia" w:ascii="仿宋_GB2312" w:hAnsi="仿宋_GB2312" w:eastAsia="仿宋_GB2312" w:cs="仿宋_GB2312"/>
          <w:color w:val="auto"/>
          <w:sz w:val="32"/>
          <w:szCs w:val="32"/>
          <w:lang w:eastAsia="zh-CN"/>
        </w:rPr>
        <w:t>明确了经劳动能力鉴定确定伤残等级，补充工伤保险按规定支付的相关待遇。</w:t>
      </w:r>
    </w:p>
    <w:p>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bCs/>
          <w:color w:val="auto"/>
          <w:sz w:val="32"/>
          <w:szCs w:val="32"/>
          <w:lang w:val="en-US" w:eastAsia="zh-CN"/>
        </w:rPr>
        <w:t>第八章</w:t>
      </w:r>
      <w:r>
        <w:rPr>
          <w:rFonts w:hint="eastAsia" w:ascii="楷体" w:hAnsi="楷体" w:eastAsia="楷体" w:cs="楷体"/>
          <w:b/>
          <w:bCs/>
          <w:color w:val="auto"/>
          <w:sz w:val="32"/>
          <w:szCs w:val="32"/>
          <w:lang w:eastAsia="zh-CN"/>
        </w:rPr>
        <w:t>职业伤害预防。</w:t>
      </w:r>
      <w:r>
        <w:rPr>
          <w:rFonts w:hint="eastAsia" w:ascii="仿宋_GB2312" w:hAnsi="仿宋_GB2312" w:eastAsia="仿宋_GB2312" w:cs="仿宋_GB2312"/>
          <w:color w:val="auto"/>
          <w:sz w:val="32"/>
          <w:szCs w:val="32"/>
          <w:lang w:eastAsia="zh-CN"/>
        </w:rPr>
        <w:t>明确了提取不超过</w:t>
      </w:r>
      <w:r>
        <w:rPr>
          <w:rFonts w:hint="eastAsia" w:ascii="仿宋_GB2312" w:hAnsi="仿宋_GB2312" w:eastAsia="仿宋_GB2312" w:cs="仿宋_GB2312"/>
          <w:color w:val="auto"/>
          <w:sz w:val="32"/>
          <w:szCs w:val="32"/>
          <w:lang w:val="en-US" w:eastAsia="zh-CN"/>
        </w:rPr>
        <w:t>3%的</w:t>
      </w:r>
      <w:r>
        <w:rPr>
          <w:rFonts w:hint="eastAsia" w:ascii="仿宋_GB2312" w:hAnsi="仿宋_GB2312" w:eastAsia="仿宋_GB2312" w:cs="仿宋_GB2312"/>
          <w:color w:val="auto"/>
          <w:sz w:val="32"/>
          <w:szCs w:val="32"/>
          <w:lang w:eastAsia="zh-CN"/>
        </w:rPr>
        <w:t>上年度补充工伤保险保费收入</w:t>
      </w:r>
      <w:r>
        <w:rPr>
          <w:rFonts w:hint="eastAsia" w:ascii="仿宋_GB2312" w:hAnsi="仿宋_GB2312" w:eastAsia="仿宋_GB2312" w:cs="仿宋_GB2312"/>
          <w:color w:val="auto"/>
          <w:sz w:val="32"/>
          <w:szCs w:val="32"/>
          <w:lang w:val="en-US" w:eastAsia="zh-CN"/>
        </w:rPr>
        <w:t>作为补充工伤保险预防费，参照《江西省工伤预防费使用管理暂行办法》开展工伤预防工作。</w:t>
      </w:r>
    </w:p>
    <w:p>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bCs/>
          <w:color w:val="auto"/>
          <w:sz w:val="32"/>
          <w:szCs w:val="32"/>
          <w:lang w:val="en-US" w:eastAsia="zh-CN"/>
        </w:rPr>
        <w:t>第九章资金财务管理。</w:t>
      </w:r>
      <w:r>
        <w:rPr>
          <w:rFonts w:hint="eastAsia" w:ascii="仿宋_GB2312" w:hAnsi="仿宋_GB2312" w:eastAsia="仿宋_GB2312" w:cs="仿宋_GB2312"/>
          <w:color w:val="auto"/>
          <w:sz w:val="32"/>
          <w:szCs w:val="32"/>
          <w:lang w:val="en-US" w:eastAsia="zh-CN"/>
        </w:rPr>
        <w:t>明确了试行期间承办机构管理运行成本与盈利合计暂按</w:t>
      </w:r>
      <w:r>
        <w:rPr>
          <w:rFonts w:hint="default" w:ascii="仿宋_GB2312" w:hAnsi="仿宋_GB2312" w:eastAsia="仿宋_GB2312" w:cs="仿宋_GB2312"/>
          <w:color w:val="auto"/>
          <w:sz w:val="32"/>
          <w:szCs w:val="32"/>
          <w:lang w:val="en-US" w:eastAsia="zh-CN"/>
        </w:rPr>
        <w:t>不超过</w:t>
      </w:r>
      <w:r>
        <w:rPr>
          <w:rFonts w:hint="eastAsia" w:ascii="仿宋_GB2312" w:hAnsi="仿宋_GB2312" w:eastAsia="仿宋_GB2312" w:cs="仿宋_GB2312"/>
          <w:color w:val="auto"/>
          <w:sz w:val="32"/>
          <w:szCs w:val="32"/>
          <w:lang w:val="en-US" w:eastAsia="zh-CN"/>
        </w:rPr>
        <w:t>年度征缴保费收入的10%计取。明确经办机构、承办机构、税务部门权利义务。</w:t>
      </w:r>
    </w:p>
    <w:p>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bCs/>
          <w:color w:val="auto"/>
          <w:sz w:val="32"/>
          <w:szCs w:val="32"/>
          <w:lang w:val="en-US" w:eastAsia="zh-CN"/>
        </w:rPr>
        <w:t>第十章监督管理。</w:t>
      </w:r>
      <w:r>
        <w:rPr>
          <w:rFonts w:hint="eastAsia" w:ascii="仿宋_GB2312" w:hAnsi="仿宋_GB2312" w:eastAsia="仿宋_GB2312" w:cs="仿宋_GB2312"/>
          <w:color w:val="auto"/>
          <w:sz w:val="32"/>
          <w:szCs w:val="32"/>
          <w:lang w:val="en-US" w:eastAsia="zh-CN"/>
        </w:rPr>
        <w:t>各级社会保险行政部门和社会保险经办机构负责对补充工伤保险日常运行进行指导和监督，对承办机构出现的违规行为应责令改正。</w:t>
      </w:r>
    </w:p>
    <w:p>
      <w:pPr>
        <w:widowControl/>
        <w:spacing w:line="540" w:lineRule="exact"/>
        <w:ind w:firstLine="642" w:firstLineChars="200"/>
        <w:rPr>
          <w:rFonts w:hint="eastAsia" w:ascii="仿宋_GB2312" w:hAnsi="仿宋_GB2312" w:eastAsia="仿宋_GB2312" w:cs="仿宋_GB2312"/>
          <w:color w:val="auto"/>
          <w:sz w:val="32"/>
          <w:szCs w:val="32"/>
          <w:lang w:eastAsia="zh-CN"/>
        </w:rPr>
      </w:pPr>
      <w:r>
        <w:rPr>
          <w:rFonts w:hint="eastAsia" w:ascii="楷体" w:hAnsi="楷体" w:eastAsia="楷体" w:cs="楷体"/>
          <w:b/>
          <w:bCs/>
          <w:color w:val="auto"/>
          <w:sz w:val="32"/>
          <w:szCs w:val="32"/>
          <w:lang w:val="en-US" w:eastAsia="zh-CN"/>
        </w:rPr>
        <w:t>第十一章</w:t>
      </w:r>
      <w:r>
        <w:rPr>
          <w:rFonts w:hint="eastAsia" w:ascii="楷体" w:hAnsi="楷体" w:eastAsia="楷体" w:cs="楷体"/>
          <w:b/>
          <w:bCs/>
          <w:color w:val="auto"/>
          <w:sz w:val="32"/>
          <w:szCs w:val="32"/>
          <w:lang w:eastAsia="zh-CN"/>
        </w:rPr>
        <w:t>附则。</w:t>
      </w:r>
      <w:r>
        <w:rPr>
          <w:rFonts w:hint="eastAsia" w:ascii="仿宋_GB2312" w:hAnsi="仿宋_GB2312" w:eastAsia="仿宋_GB2312" w:cs="仿宋_GB2312"/>
          <w:color w:val="auto"/>
          <w:sz w:val="32"/>
          <w:szCs w:val="32"/>
          <w:lang w:eastAsia="zh-CN"/>
        </w:rPr>
        <w:t>明确补充工伤保险的缴费标准和待遇标准；明确</w:t>
      </w:r>
      <w:r>
        <w:rPr>
          <w:rFonts w:hint="eastAsia" w:ascii="仿宋_GB2312" w:hAnsi="仿宋_GB2312" w:eastAsia="仿宋_GB2312" w:cs="仿宋_GB2312"/>
          <w:color w:val="auto"/>
          <w:sz w:val="32"/>
          <w:szCs w:val="32"/>
          <w:lang w:val="en-US" w:eastAsia="zh-CN"/>
        </w:rPr>
        <w:t>参保单位、参保人与承办机构发生争议时的处理方式等。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kern w:val="0"/>
          <w:sz w:val="32"/>
          <w:szCs w:val="32"/>
          <w:u w:val="none"/>
          <w:lang w:val="en-US" w:eastAsia="zh-CN"/>
        </w:rPr>
      </w:pPr>
      <w:r>
        <w:rPr>
          <w:rFonts w:hint="eastAsia" w:ascii="黑体" w:hAnsi="黑体" w:eastAsia="黑体" w:cs="黑体"/>
          <w:kern w:val="0"/>
          <w:sz w:val="32"/>
          <w:szCs w:val="32"/>
          <w:u w:val="none"/>
          <w:lang w:val="en-US" w:eastAsia="zh-CN"/>
        </w:rPr>
        <w:t>三、特色亮点</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仿宋_GB2312" w:hAnsi="Times New Roman" w:eastAsia="仿宋_GB2312" w:cs="Times New Roman"/>
          <w:kern w:val="0"/>
          <w:sz w:val="32"/>
          <w:szCs w:val="32"/>
          <w:u w:val="none"/>
          <w:lang w:val="en-US" w:eastAsia="zh-CN"/>
        </w:rPr>
      </w:pPr>
      <w:r>
        <w:rPr>
          <w:rFonts w:hint="eastAsia" w:ascii="楷体_GB2312" w:hAnsi="楷体_GB2312" w:eastAsia="楷体_GB2312" w:cs="楷体_GB2312"/>
          <w:b/>
          <w:bCs/>
          <w:kern w:val="0"/>
          <w:sz w:val="32"/>
          <w:szCs w:val="32"/>
          <w:u w:val="none"/>
          <w:lang w:val="en-US" w:eastAsia="zh-CN"/>
        </w:rPr>
        <w:t>一是补齐民生短板，进一步扩大保障范围。</w:t>
      </w:r>
      <w:r>
        <w:rPr>
          <w:rFonts w:hint="eastAsia" w:ascii="仿宋_GB2312" w:hAnsi="Times New Roman" w:eastAsia="仿宋_GB2312" w:cs="Times New Roman"/>
          <w:kern w:val="0"/>
          <w:sz w:val="32"/>
          <w:szCs w:val="32"/>
          <w:u w:val="none"/>
          <w:lang w:val="en-US" w:eastAsia="zh-CN"/>
        </w:rPr>
        <w:t>村（社区）“两委”人员方面增加了村（社区）专职工作人员，在校实习生、见习生方面增加了医疗机构中的规培和进修人员</w:t>
      </w:r>
      <w:r>
        <w:rPr>
          <w:rFonts w:hint="eastAsia" w:ascii="仿宋_GB2312" w:eastAsia="仿宋_GB2312" w:cs="Times New Roman"/>
          <w:kern w:val="0"/>
          <w:sz w:val="32"/>
          <w:szCs w:val="32"/>
          <w:u w:val="none"/>
          <w:lang w:val="en-US" w:eastAsia="zh-CN"/>
        </w:rPr>
        <w:t>。</w:t>
      </w:r>
      <w:r>
        <w:rPr>
          <w:rFonts w:hint="eastAsia" w:ascii="仿宋_GB2312" w:hAnsi="Times New Roman" w:eastAsia="仿宋_GB2312" w:cs="Times New Roman"/>
          <w:kern w:val="0"/>
          <w:sz w:val="32"/>
          <w:szCs w:val="32"/>
          <w:u w:val="none"/>
          <w:lang w:val="en-US" w:eastAsia="zh-CN"/>
        </w:rPr>
        <w:t>新增了村（社区）集体经济组织、农村经济合作社中年龄不超过70周岁的聘用人员，村（社区）医疗卫生机构中年龄不超过70周岁的医护人员及其他工作人员，依法成立的各类协会、学会、商会等社会团体组织中年龄不超过70周岁的工作人员以及全市依法注册登记的宗教活动场所的教职人员3类人员</w:t>
      </w:r>
      <w:r>
        <w:rPr>
          <w:rFonts w:hint="eastAsia" w:ascii="仿宋_GB2312" w:eastAsia="仿宋_GB2312" w:cs="Times New Roman"/>
          <w:kern w:val="0"/>
          <w:sz w:val="32"/>
          <w:szCs w:val="32"/>
          <w:u w:val="none"/>
          <w:lang w:val="en-US" w:eastAsia="zh-CN"/>
        </w:rPr>
        <w:t>。</w:t>
      </w:r>
      <w:r>
        <w:rPr>
          <w:rFonts w:hint="eastAsia" w:ascii="仿宋_GB2312" w:hAnsi="Times New Roman" w:eastAsia="仿宋_GB2312" w:cs="Times New Roman"/>
          <w:kern w:val="0"/>
          <w:sz w:val="32"/>
          <w:szCs w:val="32"/>
          <w:u w:val="none"/>
          <w:lang w:val="en-US" w:eastAsia="zh-CN"/>
        </w:rPr>
        <w:t>灵活就业人员方面，强化了在我市区域内就业和年龄不超过70周岁的要求，取消了在本市参加基本养老保险的限制。</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仿宋_GB2312" w:hAnsi="Times New Roman" w:eastAsia="仿宋_GB2312" w:cs="Times New Roman"/>
          <w:kern w:val="0"/>
          <w:sz w:val="32"/>
          <w:szCs w:val="32"/>
          <w:u w:val="none"/>
          <w:lang w:val="en-US" w:eastAsia="zh-CN"/>
        </w:rPr>
      </w:pPr>
      <w:r>
        <w:rPr>
          <w:rFonts w:hint="eastAsia" w:ascii="楷体_GB2312" w:hAnsi="楷体_GB2312" w:eastAsia="楷体_GB2312" w:cs="楷体_GB2312"/>
          <w:b/>
          <w:bCs/>
          <w:kern w:val="0"/>
          <w:sz w:val="32"/>
          <w:szCs w:val="32"/>
          <w:u w:val="none"/>
          <w:lang w:val="en-US" w:eastAsia="zh-CN"/>
        </w:rPr>
        <w:t>二是切实助企纾困，进一步减轻企业负担。</w:t>
      </w:r>
      <w:r>
        <w:rPr>
          <w:rFonts w:hint="eastAsia" w:ascii="仿宋_GB2312" w:hAnsi="Times New Roman" w:eastAsia="仿宋_GB2312" w:cs="Times New Roman"/>
          <w:kern w:val="0"/>
          <w:sz w:val="32"/>
          <w:szCs w:val="32"/>
          <w:u w:val="none"/>
          <w:lang w:val="en-US" w:eastAsia="zh-CN"/>
        </w:rPr>
        <w:t>工伤职工依法享受由工伤保险基金支付的相关待遇后，企业仍需支付一次性伤残就业补助金、停工留薪期工资、停工留薪期护理补助等工伤待遇。如果企业参加补充工伤保险，承办机构可替代企业支出费用比例由原来的77%提高至82%左右，企业负担进一步减轻。企业参加补充工伤保险，人均缴费每月约为13元，一年约为156元。如企业参加雇主责任险</w:t>
      </w:r>
      <w:r>
        <w:rPr>
          <w:rFonts w:hint="eastAsia" w:ascii="仿宋_GB2312" w:eastAsia="仿宋_GB2312" w:cs="Times New Roman"/>
          <w:kern w:val="0"/>
          <w:sz w:val="32"/>
          <w:szCs w:val="32"/>
          <w:u w:val="none"/>
          <w:lang w:val="en-US" w:eastAsia="zh-CN"/>
        </w:rPr>
        <w:t>、意外险等商业险</w:t>
      </w:r>
      <w:r>
        <w:rPr>
          <w:rFonts w:hint="eastAsia" w:ascii="仿宋_GB2312" w:hAnsi="Times New Roman" w:eastAsia="仿宋_GB2312" w:cs="Times New Roman"/>
          <w:kern w:val="0"/>
          <w:sz w:val="32"/>
          <w:szCs w:val="32"/>
          <w:u w:val="none"/>
          <w:lang w:val="en-US" w:eastAsia="zh-CN"/>
        </w:rPr>
        <w:t>，可为企业减少90%</w:t>
      </w:r>
      <w:r>
        <w:rPr>
          <w:rFonts w:hint="eastAsia" w:ascii="仿宋_GB2312" w:eastAsia="仿宋_GB2312" w:cs="Times New Roman"/>
          <w:kern w:val="0"/>
          <w:sz w:val="32"/>
          <w:szCs w:val="32"/>
          <w:u w:val="none"/>
          <w:lang w:val="en-US" w:eastAsia="zh-CN"/>
        </w:rPr>
        <w:t>以上</w:t>
      </w:r>
      <w:r>
        <w:rPr>
          <w:rFonts w:hint="eastAsia" w:ascii="仿宋_GB2312" w:hAnsi="Times New Roman" w:eastAsia="仿宋_GB2312" w:cs="Times New Roman"/>
          <w:kern w:val="0"/>
          <w:sz w:val="32"/>
          <w:szCs w:val="32"/>
          <w:u w:val="none"/>
          <w:lang w:val="en-US" w:eastAsia="zh-CN"/>
        </w:rPr>
        <w:t>的保费支出</w:t>
      </w:r>
      <w:r>
        <w:rPr>
          <w:rFonts w:hint="eastAsia" w:ascii="仿宋_GB2312" w:eastAsia="仿宋_GB2312" w:cs="Times New Roman"/>
          <w:kern w:val="0"/>
          <w:sz w:val="32"/>
          <w:szCs w:val="32"/>
          <w:u w:val="none"/>
          <w:lang w:val="en-US" w:eastAsia="zh-CN"/>
        </w:rPr>
        <w:t>负担</w:t>
      </w:r>
      <w:r>
        <w:rPr>
          <w:rFonts w:hint="eastAsia" w:ascii="仿宋_GB2312" w:hAnsi="Times New Roman" w:eastAsia="仿宋_GB2312" w:cs="Times New Roman"/>
          <w:kern w:val="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黑体" w:hAnsi="黑体" w:eastAsia="黑体" w:cs="黑体"/>
          <w:color w:val="000000"/>
          <w:sz w:val="32"/>
          <w:szCs w:val="32"/>
          <w:lang w:val="en-US" w:eastAsia="zh-CN"/>
        </w:rPr>
      </w:pPr>
      <w:r>
        <w:rPr>
          <w:rFonts w:hint="eastAsia" w:ascii="楷体_GB2312" w:hAnsi="楷体_GB2312" w:eastAsia="楷体_GB2312" w:cs="楷体_GB2312"/>
          <w:b/>
          <w:bCs/>
          <w:kern w:val="0"/>
          <w:sz w:val="32"/>
          <w:szCs w:val="32"/>
          <w:u w:val="none"/>
          <w:lang w:val="en-US" w:eastAsia="zh-CN"/>
        </w:rPr>
        <w:t>三是有效补充支付，进一步提高保障待遇。</w:t>
      </w:r>
      <w:r>
        <w:rPr>
          <w:rFonts w:hint="eastAsia" w:ascii="仿宋_GB2312" w:hAnsi="Times New Roman" w:eastAsia="仿宋_GB2312" w:cs="Times New Roman"/>
          <w:kern w:val="0"/>
          <w:sz w:val="32"/>
          <w:szCs w:val="32"/>
          <w:u w:val="none"/>
          <w:lang w:val="en-US" w:eastAsia="zh-CN"/>
        </w:rPr>
        <w:t>用人单位参加补充工伤保险后，待遇保障替代率将由</w:t>
      </w:r>
      <w:r>
        <w:rPr>
          <w:rFonts w:hint="eastAsia" w:ascii="仿宋_GB2312" w:eastAsia="仿宋_GB2312" w:cs="Times New Roman"/>
          <w:kern w:val="0"/>
          <w:sz w:val="32"/>
          <w:szCs w:val="32"/>
          <w:u w:val="none"/>
          <w:lang w:val="en-US" w:eastAsia="zh-CN"/>
        </w:rPr>
        <w:t>试点期间</w:t>
      </w:r>
      <w:r>
        <w:rPr>
          <w:rFonts w:hint="eastAsia" w:ascii="仿宋_GB2312" w:hAnsi="Times New Roman" w:eastAsia="仿宋_GB2312" w:cs="Times New Roman"/>
          <w:kern w:val="0"/>
          <w:sz w:val="32"/>
          <w:szCs w:val="32"/>
          <w:u w:val="none"/>
          <w:lang w:val="en-US" w:eastAsia="zh-CN"/>
        </w:rPr>
        <w:t>的30%提高至40%。</w:t>
      </w:r>
      <w:r>
        <w:rPr>
          <w:rFonts w:hint="eastAsia" w:ascii="仿宋_GB2312" w:eastAsia="仿宋_GB2312" w:cs="Times New Roman"/>
          <w:kern w:val="0"/>
          <w:sz w:val="32"/>
          <w:szCs w:val="32"/>
          <w:u w:val="none"/>
          <w:lang w:val="en-US" w:eastAsia="zh-CN"/>
        </w:rPr>
        <w:t>工亡职工的补充待遇方面，由10万提高至20万。</w:t>
      </w:r>
      <w:r>
        <w:rPr>
          <w:rFonts w:hint="eastAsia" w:ascii="仿宋_GB2312" w:hAnsi="Times New Roman" w:eastAsia="仿宋_GB2312" w:cs="Times New Roman"/>
          <w:kern w:val="0"/>
          <w:sz w:val="32"/>
          <w:szCs w:val="32"/>
          <w:u w:val="none"/>
          <w:lang w:val="en-US" w:eastAsia="zh-CN"/>
        </w:rPr>
        <w:t>对工伤职工超工伤保险规定支付范围的剩余部分，</w:t>
      </w:r>
      <w:r>
        <w:rPr>
          <w:rFonts w:hint="eastAsia" w:ascii="仿宋_GB2312" w:eastAsia="仿宋_GB2312" w:cs="Times New Roman"/>
          <w:kern w:val="0"/>
          <w:sz w:val="32"/>
          <w:szCs w:val="32"/>
          <w:u w:val="none"/>
          <w:lang w:val="en-US" w:eastAsia="zh-CN"/>
        </w:rPr>
        <w:t>0—10万</w:t>
      </w:r>
      <w:r>
        <w:rPr>
          <w:rFonts w:hint="eastAsia" w:ascii="仿宋_GB2312" w:hAnsi="Times New Roman" w:eastAsia="仿宋_GB2312" w:cs="Times New Roman"/>
          <w:kern w:val="0"/>
          <w:sz w:val="32"/>
          <w:szCs w:val="32"/>
          <w:u w:val="none"/>
          <w:lang w:val="en-US" w:eastAsia="zh-CN"/>
        </w:rPr>
        <w:t>元由</w:t>
      </w:r>
      <w:r>
        <w:rPr>
          <w:rFonts w:hint="eastAsia" w:ascii="仿宋_GB2312" w:eastAsia="仿宋_GB2312" w:cs="Times New Roman"/>
          <w:kern w:val="0"/>
          <w:sz w:val="32"/>
          <w:szCs w:val="32"/>
          <w:u w:val="none"/>
          <w:lang w:val="en-US" w:eastAsia="zh-CN"/>
        </w:rPr>
        <w:t>试点期间</w:t>
      </w:r>
      <w:r>
        <w:rPr>
          <w:rFonts w:hint="eastAsia" w:ascii="仿宋_GB2312" w:hAnsi="Times New Roman" w:eastAsia="仿宋_GB2312" w:cs="Times New Roman"/>
          <w:kern w:val="0"/>
          <w:sz w:val="32"/>
          <w:szCs w:val="32"/>
          <w:u w:val="none"/>
          <w:lang w:val="en-US" w:eastAsia="zh-CN"/>
        </w:rPr>
        <w:t>的70%由承办机构给付提高至75%，10万以上由</w:t>
      </w:r>
      <w:r>
        <w:rPr>
          <w:rFonts w:hint="eastAsia" w:ascii="仿宋_GB2312" w:eastAsia="仿宋_GB2312" w:cs="Times New Roman"/>
          <w:kern w:val="0"/>
          <w:sz w:val="32"/>
          <w:szCs w:val="32"/>
          <w:u w:val="none"/>
          <w:lang w:val="en-US" w:eastAsia="zh-CN"/>
        </w:rPr>
        <w:t>试点期间</w:t>
      </w:r>
      <w:r>
        <w:rPr>
          <w:rFonts w:hint="eastAsia" w:ascii="仿宋_GB2312" w:hAnsi="Times New Roman" w:eastAsia="仿宋_GB2312" w:cs="Times New Roman"/>
          <w:kern w:val="0"/>
          <w:sz w:val="32"/>
          <w:szCs w:val="32"/>
          <w:u w:val="none"/>
          <w:lang w:val="en-US" w:eastAsia="zh-CN"/>
        </w:rPr>
        <w:t>的50%由承办机构给付提高至60%，每人每次最高限额由</w:t>
      </w:r>
      <w:r>
        <w:rPr>
          <w:rFonts w:hint="eastAsia" w:ascii="仿宋_GB2312" w:eastAsia="仿宋_GB2312" w:cs="Times New Roman"/>
          <w:kern w:val="0"/>
          <w:sz w:val="32"/>
          <w:szCs w:val="32"/>
          <w:u w:val="none"/>
          <w:lang w:val="en-US" w:eastAsia="zh-CN"/>
        </w:rPr>
        <w:t>试点期间</w:t>
      </w:r>
      <w:r>
        <w:rPr>
          <w:rFonts w:hint="eastAsia" w:ascii="仿宋_GB2312" w:hAnsi="Times New Roman" w:eastAsia="仿宋_GB2312" w:cs="Times New Roman"/>
          <w:kern w:val="0"/>
          <w:sz w:val="32"/>
          <w:szCs w:val="32"/>
          <w:u w:val="none"/>
          <w:lang w:val="en-US" w:eastAsia="zh-CN"/>
        </w:rPr>
        <w:t>的8万元提高至10万元，年度累计最高限额由</w:t>
      </w:r>
      <w:r>
        <w:rPr>
          <w:rFonts w:hint="eastAsia" w:ascii="仿宋_GB2312" w:eastAsia="仿宋_GB2312" w:cs="Times New Roman"/>
          <w:kern w:val="0"/>
          <w:sz w:val="32"/>
          <w:szCs w:val="32"/>
          <w:u w:val="none"/>
          <w:lang w:val="en-US" w:eastAsia="zh-CN"/>
        </w:rPr>
        <w:t>试点期间</w:t>
      </w:r>
      <w:r>
        <w:rPr>
          <w:rFonts w:hint="eastAsia" w:ascii="仿宋_GB2312" w:hAnsi="Times New Roman" w:eastAsia="仿宋_GB2312" w:cs="Times New Roman"/>
          <w:kern w:val="0"/>
          <w:sz w:val="32"/>
          <w:szCs w:val="32"/>
          <w:u w:val="none"/>
          <w:lang w:val="en-US" w:eastAsia="zh-CN"/>
        </w:rPr>
        <w:t>的15万元提高至30万元，进一步提高了保障待遇。特别</w:t>
      </w:r>
      <w:r>
        <w:rPr>
          <w:rFonts w:hint="eastAsia" w:ascii="仿宋_GB2312" w:eastAsia="仿宋_GB2312" w:cs="Times New Roman"/>
          <w:kern w:val="0"/>
          <w:sz w:val="32"/>
          <w:szCs w:val="32"/>
          <w:u w:val="none"/>
          <w:lang w:val="en-US" w:eastAsia="zh-CN"/>
        </w:rPr>
        <w:t>是生活完全不能自理人员、生活大部分不能自理人员，分别</w:t>
      </w:r>
      <w:r>
        <w:rPr>
          <w:rFonts w:hint="eastAsia" w:ascii="仿宋_GB2312" w:hAnsi="Times New Roman" w:eastAsia="仿宋_GB2312" w:cs="Times New Roman"/>
          <w:kern w:val="0"/>
          <w:sz w:val="32"/>
          <w:szCs w:val="32"/>
          <w:u w:val="none"/>
          <w:lang w:val="en-US" w:eastAsia="zh-CN"/>
        </w:rPr>
        <w:t>在</w:t>
      </w:r>
      <w:r>
        <w:rPr>
          <w:rFonts w:hint="eastAsia" w:ascii="仿宋_GB2312" w:eastAsia="仿宋_GB2312" w:cs="Times New Roman"/>
          <w:kern w:val="0"/>
          <w:sz w:val="32"/>
          <w:szCs w:val="32"/>
          <w:u w:val="none"/>
          <w:lang w:val="en-US" w:eastAsia="zh-CN"/>
        </w:rPr>
        <w:t>其</w:t>
      </w:r>
      <w:r>
        <w:rPr>
          <w:rFonts w:hint="eastAsia" w:ascii="仿宋_GB2312" w:hAnsi="Times New Roman" w:eastAsia="仿宋_GB2312" w:cs="Times New Roman"/>
          <w:kern w:val="0"/>
          <w:sz w:val="32"/>
          <w:szCs w:val="32"/>
          <w:u w:val="none"/>
          <w:lang w:val="en-US" w:eastAsia="zh-CN"/>
        </w:rPr>
        <w:t>工伤保险</w:t>
      </w:r>
      <w:r>
        <w:rPr>
          <w:rFonts w:hint="eastAsia" w:ascii="仿宋_GB2312" w:eastAsia="仿宋_GB2312" w:cs="Times New Roman"/>
          <w:kern w:val="0"/>
          <w:sz w:val="32"/>
          <w:szCs w:val="32"/>
          <w:u w:val="none"/>
          <w:lang w:val="en-US" w:eastAsia="zh-CN"/>
        </w:rPr>
        <w:t>待遇</w:t>
      </w:r>
      <w:r>
        <w:rPr>
          <w:rFonts w:hint="eastAsia" w:ascii="仿宋_GB2312" w:hAnsi="Times New Roman" w:eastAsia="仿宋_GB2312" w:cs="Times New Roman"/>
          <w:kern w:val="0"/>
          <w:sz w:val="32"/>
          <w:szCs w:val="32"/>
          <w:u w:val="none"/>
          <w:lang w:val="en-US" w:eastAsia="zh-CN"/>
        </w:rPr>
        <w:t>基础上</w:t>
      </w:r>
      <w:r>
        <w:rPr>
          <w:rFonts w:hint="eastAsia" w:ascii="仿宋_GB2312" w:eastAsia="仿宋_GB2312" w:cs="Times New Roman"/>
          <w:kern w:val="0"/>
          <w:sz w:val="32"/>
          <w:szCs w:val="32"/>
          <w:u w:val="none"/>
          <w:lang w:val="en-US" w:eastAsia="zh-CN"/>
        </w:rPr>
        <w:t>，</w:t>
      </w:r>
      <w:r>
        <w:rPr>
          <w:rFonts w:hint="eastAsia" w:ascii="仿宋_GB2312" w:hAnsi="Times New Roman" w:eastAsia="仿宋_GB2312" w:cs="Times New Roman"/>
          <w:kern w:val="0"/>
          <w:sz w:val="32"/>
          <w:szCs w:val="32"/>
          <w:u w:val="none"/>
          <w:lang w:val="en-US" w:eastAsia="zh-CN"/>
        </w:rPr>
        <w:t>增加</w:t>
      </w:r>
      <w:r>
        <w:rPr>
          <w:rFonts w:hint="eastAsia" w:ascii="仿宋_GB2312" w:eastAsia="仿宋_GB2312" w:cs="Times New Roman"/>
          <w:kern w:val="0"/>
          <w:sz w:val="32"/>
          <w:szCs w:val="32"/>
          <w:u w:val="none"/>
          <w:lang w:val="en-US" w:eastAsia="zh-CN"/>
        </w:rPr>
        <w:t>了</w:t>
      </w:r>
      <w:r>
        <w:rPr>
          <w:rFonts w:hint="eastAsia" w:ascii="仿宋_GB2312" w:hAnsi="Times New Roman" w:eastAsia="仿宋_GB2312" w:cs="Times New Roman"/>
          <w:kern w:val="0"/>
          <w:sz w:val="32"/>
          <w:szCs w:val="32"/>
          <w:u w:val="none"/>
          <w:lang w:val="en-US" w:eastAsia="zh-CN"/>
        </w:rPr>
        <w:t>全省上年度城镇非私营单位在岗职工月平均工资的10%</w:t>
      </w:r>
      <w:r>
        <w:rPr>
          <w:rFonts w:hint="eastAsia" w:ascii="仿宋_GB2312" w:eastAsia="仿宋_GB2312" w:cs="Times New Roman"/>
          <w:kern w:val="0"/>
          <w:sz w:val="32"/>
          <w:szCs w:val="32"/>
          <w:u w:val="none"/>
          <w:lang w:val="en-US" w:eastAsia="zh-CN"/>
        </w:rPr>
        <w:t>、5%</w:t>
      </w:r>
      <w:r>
        <w:rPr>
          <w:rFonts w:hint="eastAsia" w:ascii="仿宋_GB2312" w:hAnsi="Times New Roman" w:eastAsia="仿宋_GB2312" w:cs="Times New Roman"/>
          <w:kern w:val="0"/>
          <w:sz w:val="32"/>
          <w:szCs w:val="32"/>
          <w:u w:val="none"/>
          <w:lang w:val="en-US" w:eastAsia="zh-CN"/>
        </w:rPr>
        <w:t>，按照现行标准预计</w:t>
      </w:r>
      <w:r>
        <w:rPr>
          <w:rFonts w:hint="eastAsia" w:ascii="仿宋_GB2312" w:eastAsia="仿宋_GB2312" w:cs="Times New Roman"/>
          <w:kern w:val="0"/>
          <w:sz w:val="32"/>
          <w:szCs w:val="32"/>
          <w:u w:val="none"/>
          <w:lang w:val="en-US" w:eastAsia="zh-CN"/>
        </w:rPr>
        <w:t>每人</w:t>
      </w:r>
      <w:r>
        <w:rPr>
          <w:rFonts w:hint="eastAsia" w:ascii="仿宋_GB2312" w:hAnsi="Times New Roman" w:eastAsia="仿宋_GB2312" w:cs="Times New Roman"/>
          <w:kern w:val="0"/>
          <w:sz w:val="32"/>
          <w:szCs w:val="32"/>
          <w:u w:val="none"/>
          <w:lang w:val="en-US" w:eastAsia="zh-CN"/>
        </w:rPr>
        <w:t>每月</w:t>
      </w:r>
      <w:r>
        <w:rPr>
          <w:rFonts w:hint="eastAsia" w:ascii="仿宋_GB2312" w:eastAsia="仿宋_GB2312" w:cs="Times New Roman"/>
          <w:kern w:val="0"/>
          <w:sz w:val="32"/>
          <w:szCs w:val="32"/>
          <w:u w:val="none"/>
          <w:lang w:val="en-US" w:eastAsia="zh-CN"/>
        </w:rPr>
        <w:t>分别</w:t>
      </w:r>
      <w:r>
        <w:rPr>
          <w:rFonts w:hint="eastAsia" w:ascii="仿宋_GB2312" w:hAnsi="Times New Roman" w:eastAsia="仿宋_GB2312" w:cs="Times New Roman"/>
          <w:kern w:val="0"/>
          <w:sz w:val="32"/>
          <w:szCs w:val="32"/>
          <w:u w:val="none"/>
          <w:lang w:val="en-US" w:eastAsia="zh-CN"/>
        </w:rPr>
        <w:t>增加</w:t>
      </w:r>
      <w:r>
        <w:rPr>
          <w:rFonts w:hint="eastAsia" w:ascii="仿宋_GB2312" w:eastAsia="仿宋_GB2312" w:cs="Times New Roman"/>
          <w:kern w:val="0"/>
          <w:sz w:val="32"/>
          <w:szCs w:val="32"/>
          <w:u w:val="none"/>
          <w:lang w:val="en-US" w:eastAsia="zh-CN"/>
        </w:rPr>
        <w:t>813</w:t>
      </w:r>
      <w:r>
        <w:rPr>
          <w:rFonts w:hint="eastAsia" w:ascii="仿宋_GB2312" w:hAnsi="Times New Roman" w:eastAsia="仿宋_GB2312" w:cs="Times New Roman"/>
          <w:kern w:val="0"/>
          <w:sz w:val="32"/>
          <w:szCs w:val="32"/>
          <w:u w:val="none"/>
          <w:lang w:val="en-US" w:eastAsia="zh-CN"/>
        </w:rPr>
        <w:t>元</w:t>
      </w:r>
      <w:r>
        <w:rPr>
          <w:rFonts w:hint="eastAsia" w:ascii="仿宋_GB2312" w:eastAsia="仿宋_GB2312" w:cs="Times New Roman"/>
          <w:kern w:val="0"/>
          <w:sz w:val="32"/>
          <w:szCs w:val="32"/>
          <w:u w:val="none"/>
          <w:lang w:val="en-US" w:eastAsia="zh-CN"/>
        </w:rPr>
        <w:t>、407元</w:t>
      </w:r>
      <w:r>
        <w:rPr>
          <w:rFonts w:hint="eastAsia" w:ascii="仿宋_GB2312" w:hAnsi="Times New Roman" w:eastAsia="仿宋_GB2312" w:cs="Times New Roman"/>
          <w:kern w:val="0"/>
          <w:sz w:val="32"/>
          <w:szCs w:val="32"/>
          <w:u w:val="none"/>
          <w:lang w:val="en-US" w:eastAsia="zh-CN"/>
        </w:rPr>
        <w:t>左右的生活护理费，进一步提高了工伤弱势群体的生活保障水平。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val="en-US" w:eastAsia="zh-CN"/>
        </w:rPr>
        <w:t>四</w:t>
      </w:r>
      <w:r>
        <w:rPr>
          <w:rFonts w:hint="eastAsia" w:ascii="黑体" w:hAnsi="黑体" w:eastAsia="黑体" w:cs="黑体"/>
          <w:color w:val="000000"/>
          <w:sz w:val="32"/>
          <w:szCs w:val="32"/>
          <w:lang w:eastAsia="zh-CN"/>
        </w:rPr>
        <w:t>、施行时间</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Times New Roman" w:eastAsia="仿宋_GB2312" w:cs="Times New Roman"/>
          <w:i w:val="0"/>
          <w:iCs/>
          <w:kern w:val="0"/>
          <w:sz w:val="32"/>
          <w:szCs w:val="32"/>
          <w:u w:val="none"/>
          <w:lang w:val="en-US" w:eastAsia="zh-CN"/>
        </w:rPr>
      </w:pPr>
      <w:r>
        <w:rPr>
          <w:rFonts w:hint="eastAsia" w:ascii="仿宋_GB2312" w:hAnsi="仿宋_GB2312" w:eastAsia="仿宋_GB2312" w:cs="仿宋_GB2312"/>
          <w:sz w:val="32"/>
          <w:szCs w:val="32"/>
        </w:rPr>
        <w:t>本实施细则自</w:t>
      </w:r>
      <w:r>
        <w:rPr>
          <w:rFonts w:hint="eastAsia" w:ascii="仿宋_GB2312" w:hAnsi="仿宋_GB2312" w:eastAsia="仿宋_GB2312" w:cs="仿宋_GB2312"/>
          <w:sz w:val="32"/>
          <w:szCs w:val="32"/>
          <w:lang w:val="en-US" w:eastAsia="zh-CN"/>
        </w:rPr>
        <w:t>颁布之日起施行，</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至本实施细则</w:t>
      </w:r>
      <w:r>
        <w:rPr>
          <w:rFonts w:hint="eastAsia" w:ascii="仿宋_GB2312" w:hAnsi="仿宋_GB2312" w:eastAsia="仿宋_GB2312" w:cs="仿宋_GB2312"/>
          <w:sz w:val="32"/>
          <w:szCs w:val="32"/>
        </w:rPr>
        <w:t>施行</w:t>
      </w:r>
      <w:r>
        <w:rPr>
          <w:rFonts w:hint="eastAsia" w:ascii="仿宋_GB2312" w:hAnsi="仿宋_GB2312" w:eastAsia="仿宋_GB2312" w:cs="仿宋_GB2312"/>
          <w:sz w:val="32"/>
          <w:szCs w:val="32"/>
          <w:lang w:val="en-US" w:eastAsia="zh-CN"/>
        </w:rPr>
        <w:t>前的相关事项，可参照本实施细则操作。</w:t>
      </w:r>
      <w:r>
        <w:rPr>
          <w:rFonts w:hint="eastAsia" w:ascii="仿宋_GB2312" w:eastAsia="仿宋_GB2312" w:cs="Times New Roman"/>
          <w:i w:val="0"/>
          <w:iCs/>
          <w:kern w:val="0"/>
          <w:sz w:val="32"/>
          <w:szCs w:val="32"/>
          <w:u w:val="none"/>
          <w:lang w:val="en-US" w:eastAsia="zh-CN"/>
        </w:rPr>
        <w:t>本细则</w:t>
      </w:r>
      <w:r>
        <w:rPr>
          <w:rFonts w:hint="eastAsia" w:ascii="仿宋_GB2312" w:hAnsi="Times New Roman" w:eastAsia="仿宋_GB2312" w:cs="Times New Roman"/>
          <w:i w:val="0"/>
          <w:iCs/>
          <w:kern w:val="0"/>
          <w:sz w:val="32"/>
          <w:szCs w:val="32"/>
          <w:u w:val="none"/>
          <w:lang w:val="en-US" w:eastAsia="zh-CN"/>
        </w:rPr>
        <w:t>施行</w:t>
      </w:r>
      <w:r>
        <w:rPr>
          <w:rFonts w:hint="eastAsia" w:ascii="仿宋_GB2312" w:eastAsia="仿宋_GB2312" w:cs="Times New Roman"/>
          <w:i w:val="0"/>
          <w:iCs/>
          <w:kern w:val="0"/>
          <w:sz w:val="32"/>
          <w:szCs w:val="32"/>
          <w:u w:val="none"/>
          <w:lang w:val="en-US" w:eastAsia="zh-CN"/>
        </w:rPr>
        <w:t>后，</w:t>
      </w:r>
      <w:r>
        <w:rPr>
          <w:rFonts w:hint="eastAsia" w:ascii="仿宋_GB2312" w:hAnsi="Times New Roman" w:eastAsia="仿宋_GB2312" w:cs="Times New Roman"/>
          <w:i w:val="0"/>
          <w:iCs/>
          <w:kern w:val="0"/>
          <w:sz w:val="32"/>
          <w:szCs w:val="32"/>
          <w:u w:val="none"/>
          <w:lang w:val="en-US" w:eastAsia="zh-CN"/>
        </w:rPr>
        <w:t>国家和省有新规定的从其规定。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000000"/>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Droid Sans Ethiopic"/>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ESI仿宋-GB2312">
    <w:panose1 w:val="02000500000000000000"/>
    <w:charset w:val="86"/>
    <w:family w:val="auto"/>
    <w:pitch w:val="default"/>
    <w:sig w:usb0="800002AF" w:usb1="084F6CF8" w:usb2="00000010" w:usb3="00000000" w:csb0="0004000F" w:csb1="00000000"/>
  </w:font>
  <w:font w:name="方正小标宋简体">
    <w:panose1 w:val="02000000000000000000"/>
    <w:charset w:val="86"/>
    <w:family w:val="auto"/>
    <w:pitch w:val="default"/>
    <w:sig w:usb0="A00002BF" w:usb1="184F6CFA" w:usb2="00000012" w:usb3="00000000" w:csb0="00040001" w:csb1="00000000"/>
  </w:font>
  <w:font w:name="CESI黑体-GB2312">
    <w:panose1 w:val="02000500000000000000"/>
    <w:charset w:val="86"/>
    <w:family w:val="auto"/>
    <w:pitch w:val="default"/>
    <w:sig w:usb0="800002BF" w:usb1="184F6CF8" w:usb2="00000012" w:usb3="00000000" w:csb0="0004000F" w:csb1="00000000"/>
  </w:font>
  <w:font w:name="仿宋_GB2312">
    <w:altName w:val="方正仿宋_GBK"/>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CESI楷体-GB2312">
    <w:panose1 w:val="02000500000000000000"/>
    <w:charset w:val="86"/>
    <w:family w:val="auto"/>
    <w:pitch w:val="default"/>
    <w:sig w:usb0="800002BF" w:usb1="184F6CF8" w:usb2="00000012" w:usb3="00000000" w:csb0="0004000F" w:csb1="00000000"/>
  </w:font>
  <w:font w:name="楷体_GB2312">
    <w:altName w:val="方正楷体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zNmJlYzdkMTVmYmNlZGYxMmQxODNlMDhjNGVhYjMifQ=="/>
  </w:docVars>
  <w:rsids>
    <w:rsidRoot w:val="373E3F5C"/>
    <w:rsid w:val="0A067AB9"/>
    <w:rsid w:val="0DCB04B2"/>
    <w:rsid w:val="0F892407"/>
    <w:rsid w:val="16F43DC2"/>
    <w:rsid w:val="17A42A25"/>
    <w:rsid w:val="1DDD76DB"/>
    <w:rsid w:val="30B83C72"/>
    <w:rsid w:val="335A31DA"/>
    <w:rsid w:val="373E3F5C"/>
    <w:rsid w:val="418F5E0C"/>
    <w:rsid w:val="458933C9"/>
    <w:rsid w:val="4CF333F9"/>
    <w:rsid w:val="4D7742EC"/>
    <w:rsid w:val="53FD31E3"/>
    <w:rsid w:val="59D9660D"/>
    <w:rsid w:val="6117C5FC"/>
    <w:rsid w:val="672F13C1"/>
    <w:rsid w:val="6D37E6F4"/>
    <w:rsid w:val="6DF826BE"/>
    <w:rsid w:val="6F8F47A3"/>
    <w:rsid w:val="76EDE5A0"/>
    <w:rsid w:val="795B9A24"/>
    <w:rsid w:val="7DFBA8EA"/>
    <w:rsid w:val="BFE112F9"/>
    <w:rsid w:val="EE4F1626"/>
    <w:rsid w:val="FEC23E52"/>
    <w:rsid w:val="FF7FE37A"/>
    <w:rsid w:val="FFFEA9E0"/>
    <w:rsid w:val="FFFEF4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CESI仿宋-GB2312" w:cs="Times New Roman"/>
      <w:kern w:val="2"/>
      <w:sz w:val="32"/>
      <w:szCs w:val="24"/>
      <w:lang w:val="en-US" w:eastAsia="zh-CN" w:bidi="ar-SA"/>
    </w:rPr>
  </w:style>
  <w:style w:type="paragraph" w:styleId="4">
    <w:name w:val="heading 2"/>
    <w:basedOn w:val="1"/>
    <w:next w:val="1"/>
    <w:qFormat/>
    <w:uiPriority w:val="99"/>
    <w:pPr>
      <w:keepNext/>
      <w:keepLines/>
      <w:spacing w:beforeLines="50" w:line="360" w:lineRule="auto"/>
      <w:outlineLvl w:val="1"/>
    </w:pPr>
    <w:rPr>
      <w:rFonts w:ascii="Arial" w:hAnsi="Arial" w:eastAsia="黑体"/>
      <w:bCs/>
      <w:kern w:val="0"/>
      <w:sz w:val="30"/>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引用1"/>
    <w:next w:val="1"/>
    <w:qFormat/>
    <w:uiPriority w:val="0"/>
    <w:pPr>
      <w:wordWrap w:val="0"/>
      <w:spacing w:before="200" w:after="160"/>
      <w:ind w:left="864" w:right="864"/>
      <w:jc w:val="center"/>
    </w:pPr>
    <w:rPr>
      <w:rFonts w:ascii="Calibri" w:hAnsi="Calibri" w:eastAsia="宋体" w:cs="Times New Roman"/>
      <w:i/>
      <w:sz w:val="21"/>
      <w:szCs w:val="22"/>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2015</Words>
  <Characters>2031</Characters>
  <Lines>0</Lines>
  <Paragraphs>0</Paragraphs>
  <TotalTime>0</TotalTime>
  <ScaleCrop>false</ScaleCrop>
  <LinksUpToDate>false</LinksUpToDate>
  <CharactersWithSpaces>2051</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2024-10-26T19:42:00Z</dcterms:created>
  <dc:creator>谁 年少不轻狂</dc:creator>
  <cp:lastModifiedBy>kylin</cp:lastModifiedBy>
  <cp:lastPrinted>2024-11-03T17:04:00Z</cp:lastPrinted>
  <dcterms:modified xsi:type="dcterms:W3CDTF">2026-07-07T11:42:02Z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6ECA5681225841F7BFBFB4FAE4E16072_13</vt:lpwstr>
  </property>
  <property fmtid="{D5CDD505-2E9C-101B-9397-08002B2CF9AE}" pid="4" name="KSOTemplateDocerSaveRecord">
    <vt:lpwstr>eyJoZGlkIjoiOTUzNmJlYzdkMTVmYmNlZGYxMmQxODNlMDhjNGVhYjMifQ==</vt:lpwstr>
  </property>
</Properties>
</file>